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2426" w:rsidRDefault="00962426">
      <w:pPr>
        <w:widowControl w:val="0"/>
        <w:spacing w:line="120" w:lineRule="exact"/>
        <w:rPr>
          <w:rFonts w:ascii="Times New Roman" w:hAnsi="Times New Roman" w:cs="Times New Roman"/>
          <w:sz w:val="24"/>
          <w:szCs w:val="24"/>
        </w:rPr>
      </w:pPr>
      <w:bookmarkStart w:id="0" w:name="_GoBack"/>
      <w:bookmarkEnd w:id="0"/>
    </w:p>
    <w:p w:rsidR="00962426" w:rsidRDefault="00962426">
      <w:pPr>
        <w:widowControl w:val="0"/>
        <w:tabs>
          <w:tab w:val="left" w:pos="360"/>
        </w:tabs>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360"/>
          <w:tab w:val="right" w:pos="10620"/>
        </w:tabs>
        <w:rPr>
          <w:rFonts w:ascii="Times New Roman" w:hAnsi="Times New Roman" w:cs="Times New Roman"/>
          <w:sz w:val="24"/>
          <w:szCs w:val="24"/>
        </w:rPr>
      </w:pPr>
      <w:r>
        <w:rPr>
          <w:rFonts w:ascii="Times New Roman" w:hAnsi="Times New Roman" w:cs="Times New Roman"/>
          <w:sz w:val="24"/>
          <w:szCs w:val="24"/>
        </w:rPr>
        <w:tab/>
      </w:r>
      <w:r w:rsidR="00880BFF">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962426" w:rsidRDefault="00962426">
      <w:pPr>
        <w:widowControl w:val="0"/>
        <w:tabs>
          <w:tab w:val="left" w:pos="360"/>
        </w:tabs>
        <w:rPr>
          <w:rFonts w:ascii="Times New Roman" w:hAnsi="Times New Roman" w:cs="Times New Roman"/>
          <w:sz w:val="24"/>
          <w:szCs w:val="24"/>
        </w:rPr>
      </w:pPr>
    </w:p>
    <w:p w:rsidR="00962426" w:rsidRDefault="00962426">
      <w:pPr>
        <w:widowControl w:val="0"/>
        <w:spacing w:line="437" w:lineRule="exact"/>
        <w:rPr>
          <w:rFonts w:ascii="Times New Roman" w:hAnsi="Times New Roman" w:cs="Times New Roman"/>
          <w:sz w:val="24"/>
          <w:szCs w:val="24"/>
        </w:rPr>
      </w:pPr>
    </w:p>
    <w:p w:rsidR="00962426" w:rsidRDefault="00962426">
      <w:pPr>
        <w:widowControl w:val="0"/>
        <w:tabs>
          <w:tab w:val="center" w:pos="5819"/>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Compliance Questionnaire and</w:t>
      </w:r>
    </w:p>
    <w:p w:rsidR="00962426" w:rsidRDefault="00962426">
      <w:pPr>
        <w:widowControl w:val="0"/>
        <w:tabs>
          <w:tab w:val="center" w:pos="5820"/>
        </w:tabs>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Reliability Standard Audit Worksheet</w:t>
      </w:r>
    </w:p>
    <w:p w:rsidR="006D37F8" w:rsidRDefault="006D37F8">
      <w:pPr>
        <w:widowControl w:val="0"/>
        <w:ind w:left="1" w:hanging="1"/>
        <w:jc w:val="center"/>
        <w:rPr>
          <w:rFonts w:ascii="Times New Roman" w:hAnsi="Times New Roman" w:cs="Times New Roman"/>
          <w:b/>
          <w:bCs/>
          <w:sz w:val="24"/>
          <w:szCs w:val="24"/>
        </w:rPr>
      </w:pPr>
    </w:p>
    <w:p w:rsidR="006D37F8" w:rsidRDefault="006D37F8">
      <w:pPr>
        <w:widowControl w:val="0"/>
        <w:ind w:left="1" w:hanging="1"/>
        <w:jc w:val="center"/>
        <w:rPr>
          <w:rFonts w:ascii="Times New Roman" w:hAnsi="Times New Roman" w:cs="Times New Roman"/>
          <w:b/>
          <w:bCs/>
          <w:sz w:val="24"/>
          <w:szCs w:val="24"/>
        </w:rPr>
      </w:pPr>
    </w:p>
    <w:p w:rsidR="00962426" w:rsidRDefault="00962426">
      <w:pPr>
        <w:widowControl w:val="0"/>
        <w:ind w:left="1" w:hanging="1"/>
        <w:jc w:val="center"/>
        <w:rPr>
          <w:rFonts w:ascii="Times New Roman" w:hAnsi="Times New Roman" w:cs="Times New Roman"/>
          <w:b/>
          <w:bCs/>
          <w:sz w:val="24"/>
          <w:szCs w:val="24"/>
        </w:rPr>
      </w:pPr>
      <w:r>
        <w:rPr>
          <w:rFonts w:ascii="Times New Roman" w:hAnsi="Times New Roman" w:cs="Times New Roman"/>
          <w:b/>
          <w:bCs/>
          <w:sz w:val="24"/>
          <w:szCs w:val="24"/>
        </w:rPr>
        <w:t xml:space="preserve">TPL-004-0 </w:t>
      </w:r>
      <w:r>
        <w:rPr>
          <w:rFonts w:ascii="Times New Roman" w:hAnsi="Times New Roman" w:cs="Times New Roman"/>
          <w:b/>
          <w:bCs/>
          <w:color w:val="003366"/>
          <w:sz w:val="24"/>
          <w:szCs w:val="24"/>
        </w:rPr>
        <w:t xml:space="preserve">— </w:t>
      </w:r>
      <w:r>
        <w:rPr>
          <w:rFonts w:ascii="Times New Roman" w:hAnsi="Times New Roman" w:cs="Times New Roman"/>
          <w:b/>
          <w:bCs/>
          <w:sz w:val="24"/>
          <w:szCs w:val="24"/>
        </w:rPr>
        <w:t>System Performance Following Extreme Events Resulting in</w:t>
      </w:r>
    </w:p>
    <w:p w:rsidR="00962426" w:rsidRDefault="00962426">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the Loss of Two or More Bulk Electric System Elements (Category D)</w:t>
      </w:r>
    </w:p>
    <w:p w:rsidR="00962426" w:rsidRDefault="00962426">
      <w:pPr>
        <w:widowControl w:val="0"/>
        <w:rPr>
          <w:rFonts w:ascii="Times New Roman" w:hAnsi="Times New Roman" w:cs="Times New Roman"/>
          <w:sz w:val="24"/>
          <w:szCs w:val="24"/>
        </w:rPr>
      </w:pPr>
    </w:p>
    <w:p w:rsidR="00962426" w:rsidRDefault="00962426">
      <w:pPr>
        <w:widowControl w:val="0"/>
        <w:rPr>
          <w:rFonts w:ascii="Times New Roman" w:hAnsi="Times New Roman" w:cs="Times New Roman"/>
          <w:sz w:val="24"/>
          <w:szCs w:val="24"/>
        </w:rPr>
      </w:pPr>
    </w:p>
    <w:p w:rsidR="006D37F8" w:rsidRDefault="006D37F8" w:rsidP="006D37F8">
      <w:pPr>
        <w:widowControl w:val="0"/>
        <w:tabs>
          <w:tab w:val="left" w:pos="480"/>
        </w:tabs>
        <w:spacing w:line="480" w:lineRule="auto"/>
        <w:ind w:left="446"/>
        <w:rPr>
          <w:rFonts w:ascii="Times New Roman" w:hAnsi="Times New Roman" w:cs="Times New Roman"/>
          <w:b/>
          <w:bCs/>
          <w:color w:val="264D74"/>
          <w:sz w:val="24"/>
          <w:szCs w:val="24"/>
        </w:rPr>
      </w:pP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Registered Entity:</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s>
        <w:spacing w:line="480" w:lineRule="auto"/>
        <w:ind w:left="446"/>
        <w:rPr>
          <w:rFonts w:ascii="Times New Roman" w:hAnsi="Times New Roman" w:cs="Times New Roman"/>
          <w:i/>
          <w:iCs/>
          <w:color w:val="000000"/>
          <w:sz w:val="24"/>
          <w:szCs w:val="24"/>
        </w:rPr>
      </w:pPr>
      <w:r>
        <w:rPr>
          <w:rFonts w:ascii="Times New Roman" w:hAnsi="Times New Roman" w:cs="Times New Roman"/>
          <w:b/>
          <w:bCs/>
          <w:color w:val="264D74"/>
          <w:sz w:val="24"/>
          <w:szCs w:val="24"/>
        </w:rPr>
        <w:t>NCR Number:</w:t>
      </w:r>
      <w:r>
        <w:rPr>
          <w:rFonts w:ascii="Times New Roman" w:hAnsi="Times New Roman" w:cs="Times New Roman"/>
          <w:b/>
          <w:bCs/>
          <w:color w:val="336699"/>
          <w:sz w:val="24"/>
          <w:szCs w:val="24"/>
        </w:rPr>
        <w:t xml:space="preserve"> </w:t>
      </w:r>
      <w:r>
        <w:rPr>
          <w:rFonts w:ascii="Times New Roman" w:hAnsi="Times New Roman" w:cs="Times New Roman"/>
          <w:i/>
          <w:iCs/>
          <w:color w:val="000000"/>
          <w:sz w:val="24"/>
          <w:szCs w:val="24"/>
        </w:rPr>
        <w:t xml:space="preserve"> (Must be completed by the Compliance Enforcement Authority)</w:t>
      </w:r>
    </w:p>
    <w:p w:rsidR="00962426" w:rsidRDefault="00962426" w:rsidP="006D37F8">
      <w:pPr>
        <w:widowControl w:val="0"/>
        <w:tabs>
          <w:tab w:val="left" w:pos="480"/>
          <w:tab w:val="left" w:pos="3720"/>
        </w:tabs>
        <w:spacing w:line="480" w:lineRule="auto"/>
        <w:ind w:left="446"/>
        <w:rPr>
          <w:rFonts w:ascii="Times New Roman" w:hAnsi="Times New Roman" w:cs="Times New Roman"/>
          <w:b/>
          <w:bCs/>
          <w:color w:val="000000"/>
          <w:sz w:val="24"/>
          <w:szCs w:val="24"/>
        </w:rPr>
      </w:pPr>
      <w:r>
        <w:rPr>
          <w:rFonts w:ascii="Times New Roman" w:hAnsi="Times New Roman" w:cs="Times New Roman"/>
          <w:b/>
          <w:bCs/>
          <w:color w:val="264D74"/>
          <w:sz w:val="24"/>
          <w:szCs w:val="24"/>
        </w:rPr>
        <w:t>Applicable Function(s):</w:t>
      </w:r>
      <w:r w:rsidR="006D37F8">
        <w:rPr>
          <w:rFonts w:ascii="Times New Roman" w:hAnsi="Times New Roman" w:cs="Times New Roman"/>
          <w:b/>
          <w:bCs/>
          <w:color w:val="264D74"/>
          <w:sz w:val="24"/>
          <w:szCs w:val="24"/>
        </w:rPr>
        <w:t xml:space="preserve">  </w:t>
      </w:r>
      <w:r>
        <w:rPr>
          <w:rFonts w:ascii="Times New Roman" w:hAnsi="Times New Roman" w:cs="Times New Roman"/>
          <w:b/>
          <w:bCs/>
          <w:sz w:val="24"/>
          <w:szCs w:val="24"/>
        </w:rPr>
        <w:t>PA, TP</w:t>
      </w:r>
    </w:p>
    <w:p w:rsidR="00962426" w:rsidRDefault="00962426" w:rsidP="006D37F8">
      <w:pPr>
        <w:widowControl w:val="0"/>
        <w:tabs>
          <w:tab w:val="left" w:pos="90"/>
          <w:tab w:val="left" w:pos="720"/>
        </w:tabs>
        <w:spacing w:line="480" w:lineRule="auto"/>
        <w:ind w:left="446"/>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962426" w:rsidRDefault="00962426">
      <w:pPr>
        <w:widowControl w:val="0"/>
        <w:tabs>
          <w:tab w:val="left" w:pos="120"/>
        </w:tabs>
        <w:spacing w:line="331" w:lineRule="exact"/>
        <w:ind w:left="450"/>
        <w:rPr>
          <w:rFonts w:ascii="Times New Roman" w:hAnsi="Times New Roman" w:cs="Times New Roman"/>
          <w:b/>
          <w:bCs/>
          <w:color w:val="264D74"/>
          <w:sz w:val="24"/>
          <w:szCs w:val="24"/>
        </w:rPr>
      </w:pPr>
    </w:p>
    <w:p w:rsidR="00962426" w:rsidRDefault="00962426">
      <w:pPr>
        <w:widowControl w:val="0"/>
        <w:spacing w:line="1469" w:lineRule="exact"/>
        <w:rPr>
          <w:rFonts w:ascii="Times New Roman" w:hAnsi="Times New Roman" w:cs="Times New Roman"/>
          <w:sz w:val="24"/>
          <w:szCs w:val="24"/>
        </w:rPr>
      </w:pPr>
    </w:p>
    <w:p w:rsidR="00962426" w:rsidRDefault="00962426">
      <w:pPr>
        <w:widowControl w:val="0"/>
        <w:tabs>
          <w:tab w:val="left" w:pos="540"/>
        </w:tabs>
        <w:spacing w:line="284" w:lineRule="exact"/>
        <w:ind w:left="540"/>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37F8" w:rsidRDefault="006D37F8">
      <w:pPr>
        <w:widowControl w:val="0"/>
        <w:tabs>
          <w:tab w:val="left" w:pos="120"/>
        </w:tabs>
        <w:spacing w:line="331" w:lineRule="exact"/>
        <w:rPr>
          <w:rFonts w:ascii="Times New Roman" w:hAnsi="Times New Roman" w:cs="Times New Roman"/>
          <w:b/>
          <w:bCs/>
          <w:color w:val="003366"/>
          <w:sz w:val="24"/>
          <w:szCs w:val="24"/>
        </w:rPr>
      </w:pPr>
    </w:p>
    <w:p w:rsidR="00962426" w:rsidRDefault="00962426">
      <w:pPr>
        <w:widowControl w:val="0"/>
        <w:tabs>
          <w:tab w:val="left" w:pos="120"/>
        </w:tabs>
        <w:spacing w:line="331"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Disclaimer</w:t>
      </w:r>
    </w:p>
    <w:p w:rsidR="00962426" w:rsidRDefault="00962426">
      <w:pPr>
        <w:widowControl w:val="0"/>
        <w:tabs>
          <w:tab w:val="left" w:pos="120"/>
        </w:tabs>
        <w:spacing w:line="28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rPr>
          <w:rFonts w:ascii="Times New Roman" w:hAnsi="Times New Roman" w:cs="Times New Roman"/>
          <w:color w:val="000000"/>
          <w:sz w:val="24"/>
          <w:szCs w:val="24"/>
        </w:rPr>
      </w:pPr>
      <w:r>
        <w:rPr>
          <w:rFonts w:ascii="Times New Roman" w:hAnsi="Times New Roman" w:cs="Times New Roman"/>
          <w:sz w:val="24"/>
          <w:szCs w:val="24"/>
        </w:rPr>
        <w:tab/>
      </w:r>
      <w:r>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Pr>
          <w:rFonts w:ascii="Times New Roman" w:hAnsi="Times New Roman" w:cs="Times New Roman"/>
          <w:sz w:val="24"/>
          <w:szCs w:val="24"/>
        </w:rPr>
        <w:t xml:space="preserve"> of the Reliability Standard, this document </w:t>
      </w:r>
      <w:r>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Pr>
            <w:rStyle w:val="Hyperlink"/>
            <w:rFonts w:ascii="Times New Roman" w:hAnsi="Times New Roman" w:cs="Times New Roman"/>
            <w:sz w:val="24"/>
            <w:szCs w:val="24"/>
          </w:rPr>
          <w:t>http://www.nerc.com/page.php?cid=2|20</w:t>
        </w:r>
      </w:hyperlink>
      <w:r>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62426" w:rsidRDefault="00962426">
      <w:pPr>
        <w:rPr>
          <w:rFonts w:ascii="Times New Roman" w:hAnsi="Times New Roman" w:cs="Times New Roman"/>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color w:val="000000"/>
          <w:sz w:val="24"/>
          <w:szCs w:val="24"/>
        </w:rPr>
        <w:t>The NERC RSAW language contained within this document provides a non</w:t>
      </w:r>
      <w:r>
        <w:rPr>
          <w:rFonts w:ascii="Times New Roman" w:hAnsi="Times New Roman" w:cs="Times New Roman"/>
          <w:color w:val="000000"/>
          <w:sz w:val="24"/>
          <w:szCs w:val="24"/>
        </w:rPr>
        <w:noBreakHyphen/>
        <w:t>exclusive list, for informational purposes</w:t>
      </w:r>
      <w:r>
        <w:rPr>
          <w:rFonts w:ascii="Times New Roman" w:hAnsi="Times New Roman" w:cs="Times New Roman"/>
          <w:sz w:val="24"/>
          <w:szCs w:val="24"/>
        </w:rPr>
        <w:t xml:space="preserve"> </w:t>
      </w:r>
      <w:r>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360"/>
        </w:tabs>
        <w:spacing w:line="124" w:lineRule="exact"/>
        <w:rPr>
          <w:rFonts w:ascii="Times New Roman" w:hAnsi="Times New Roman" w:cs="Times New Roman"/>
          <w:sz w:val="24"/>
          <w:szCs w:val="24"/>
        </w:rPr>
      </w:pPr>
      <w:r>
        <w:rPr>
          <w:rFonts w:ascii="Times New Roman" w:hAnsi="Times New Roman" w:cs="Times New Roman"/>
          <w:sz w:val="24"/>
          <w:szCs w:val="24"/>
        </w:rPr>
        <w:tab/>
      </w:r>
    </w:p>
    <w:p w:rsidR="00962426" w:rsidRDefault="00962426">
      <w:pPr>
        <w:widowControl w:val="0"/>
        <w:tabs>
          <w:tab w:val="left" w:pos="60"/>
        </w:tabs>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120"/>
        </w:tabs>
        <w:spacing w:line="331" w:lineRule="exact"/>
        <w:rPr>
          <w:rFonts w:ascii="Times New Roman" w:hAnsi="Times New Roman" w:cs="Times New Roman"/>
          <w:color w:val="000000"/>
          <w:sz w:val="24"/>
          <w:szCs w:val="24"/>
        </w:rPr>
      </w:pPr>
    </w:p>
    <w:p w:rsidR="00962426" w:rsidRDefault="00962426">
      <w:pPr>
        <w:widowControl w:val="0"/>
        <w:spacing w:line="284"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r>
        <w:rPr>
          <w:rFonts w:ascii="Times New Roman" w:hAnsi="Times New Roman" w:cs="Times New Roman"/>
          <w:sz w:val="24"/>
          <w:szCs w:val="24"/>
        </w:rPr>
        <w:br w:type="page"/>
      </w:r>
    </w:p>
    <w:p w:rsidR="006D0E34" w:rsidRPr="00880BFF" w:rsidRDefault="006D0E34" w:rsidP="006D0E34">
      <w:pPr>
        <w:pStyle w:val="Heading1"/>
        <w:numPr>
          <w:ilvl w:val="0"/>
          <w:numId w:val="0"/>
        </w:numPr>
        <w:rPr>
          <w:rFonts w:ascii="Tahoma" w:hAnsi="Tahoma"/>
          <w:b w:val="0"/>
          <w:color w:val="264B74"/>
          <w:sz w:val="40"/>
          <w:u w:val="none"/>
          <w14:shadow w14:blurRad="50800" w14:dist="38100" w14:dir="2700000" w14:sx="100000" w14:sy="100000" w14:kx="0" w14:ky="0" w14:algn="tl">
            <w14:srgbClr w14:val="000000">
              <w14:alpha w14:val="60000"/>
            </w14:srgbClr>
          </w14:shadow>
        </w:rPr>
      </w:pPr>
      <w:r w:rsidRPr="00880BFF">
        <w:rPr>
          <w:rFonts w:ascii="Tahoma" w:hAnsi="Tahoma"/>
          <w:b w:val="0"/>
          <w:color w:val="264B74"/>
          <w:sz w:val="40"/>
          <w:u w:val="none"/>
          <w14:shadow w14:blurRad="50800" w14:dist="38100" w14:dir="2700000" w14:sx="100000" w14:sy="100000" w14:kx="0" w14:ky="0" w14:algn="tl">
            <w14:srgbClr w14:val="000000">
              <w14:alpha w14:val="60000"/>
            </w14:srgbClr>
          </w14:shadow>
        </w:rPr>
        <w:lastRenderedPageBreak/>
        <w:t>Subject Matter Experts</w:t>
      </w:r>
    </w:p>
    <w:p w:rsidR="00962426" w:rsidRDefault="0096242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962426" w:rsidRDefault="00962426">
      <w:pPr>
        <w:widowControl w:val="0"/>
        <w:spacing w:line="244"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962426" w:rsidRDefault="0096242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962426">
        <w:tc>
          <w:tcPr>
            <w:tcW w:w="3528"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962426" w:rsidRDefault="0096242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962426">
        <w:tc>
          <w:tcPr>
            <w:tcW w:w="3528" w:type="dxa"/>
            <w:tcBorders>
              <w:left w:val="nil"/>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r w:rsidR="00962426">
        <w:tc>
          <w:tcPr>
            <w:tcW w:w="3528"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962426" w:rsidRDefault="00962426">
            <w:pPr>
              <w:widowControl w:val="0"/>
              <w:tabs>
                <w:tab w:val="center" w:pos="5400"/>
              </w:tabs>
              <w:spacing w:line="468" w:lineRule="exact"/>
              <w:rPr>
                <w:rFonts w:ascii="Times New Roman" w:hAnsi="Times New Roman" w:cs="Times New Roman"/>
                <w:color w:val="365F91"/>
                <w:sz w:val="24"/>
                <w:szCs w:val="24"/>
              </w:rPr>
            </w:pPr>
          </w:p>
        </w:tc>
      </w:tr>
    </w:tbl>
    <w:p w:rsidR="00962426" w:rsidRDefault="00962426">
      <w:pPr>
        <w:widowControl w:val="0"/>
        <w:tabs>
          <w:tab w:val="left" w:pos="450"/>
        </w:tabs>
        <w:spacing w:line="284" w:lineRule="exact"/>
        <w:ind w:left="450"/>
      </w:pPr>
    </w:p>
    <w:p w:rsidR="00962426" w:rsidRDefault="00962426">
      <w:pPr>
        <w:widowControl w:val="0"/>
        <w:tabs>
          <w:tab w:val="left" w:pos="450"/>
        </w:tabs>
        <w:spacing w:line="284" w:lineRule="exact"/>
        <w:ind w:left="449"/>
        <w:rPr>
          <w:color w:val="244061"/>
        </w:rPr>
      </w:pPr>
    </w:p>
    <w:p w:rsidR="006D37F8" w:rsidRDefault="006D37F8">
      <w:pPr>
        <w:widowControl w:val="0"/>
        <w:tabs>
          <w:tab w:val="left" w:pos="450"/>
        </w:tabs>
        <w:spacing w:line="284" w:lineRule="exact"/>
        <w:ind w:left="449"/>
        <w:rPr>
          <w:color w:val="244061"/>
        </w:rPr>
      </w:pPr>
    </w:p>
    <w:p w:rsidR="00962426" w:rsidRDefault="00962426">
      <w:pPr>
        <w:widowControl w:val="0"/>
        <w:spacing w:line="40" w:lineRule="exact"/>
        <w:rPr>
          <w:rFonts w:ascii="Times New Roman" w:hAnsi="Times New Roman" w:cs="Times New Roman"/>
          <w:color w:val="244061"/>
          <w:sz w:val="24"/>
          <w:szCs w:val="24"/>
        </w:rPr>
      </w:pPr>
    </w:p>
    <w:p w:rsidR="00962426" w:rsidRPr="00880BFF" w:rsidRDefault="00962426" w:rsidP="006D37F8">
      <w:pPr>
        <w:pStyle w:val="Heading1"/>
        <w:numPr>
          <w:ilvl w:val="0"/>
          <w:numId w:val="0"/>
        </w:numPr>
        <w:rPr>
          <w:rFonts w:ascii="Tahoma" w:hAnsi="Tahoma"/>
          <w:b w:val="0"/>
          <w:bCs w:val="0"/>
          <w:color w:val="264B74"/>
          <w:sz w:val="40"/>
          <w:u w:val="none"/>
          <w14:shadow w14:blurRad="50800" w14:dist="38100" w14:dir="2700000" w14:sx="100000" w14:sy="100000" w14:kx="0" w14:ky="0" w14:algn="tl">
            <w14:srgbClr w14:val="000000">
              <w14:alpha w14:val="60000"/>
            </w14:srgbClr>
          </w14:shadow>
        </w:rPr>
      </w:pPr>
      <w:r w:rsidRPr="00880BFF">
        <w:rPr>
          <w:rFonts w:ascii="Tahoma" w:hAnsi="Tahoma"/>
          <w:b w:val="0"/>
          <w:bCs w:val="0"/>
          <w:color w:val="264B74"/>
          <w:sz w:val="40"/>
          <w:u w:val="none"/>
          <w14:shadow w14:blurRad="50800" w14:dist="38100" w14:dir="2700000" w14:sx="100000" w14:sy="100000" w14:kx="0" w14:ky="0" w14:algn="tl">
            <w14:srgbClr w14:val="000000">
              <w14:alpha w14:val="60000"/>
            </w14:srgbClr>
          </w14:shadow>
        </w:rPr>
        <w:t>Supporting Evidence and Documentation</w:t>
      </w:r>
    </w:p>
    <w:p w:rsidR="00962426" w:rsidRDefault="00962426">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962426" w:rsidRDefault="0096242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368"/>
        <w:gridCol w:w="8964"/>
      </w:tblGrid>
      <w:tr w:rsidR="00962426" w:rsidTr="006D37F8">
        <w:trPr>
          <w:trHeight w:val="945"/>
        </w:trPr>
        <w:tc>
          <w:tcPr>
            <w:tcW w:w="1368" w:type="dxa"/>
            <w:tcBorders>
              <w:top w:val="nil"/>
              <w:left w:val="nil"/>
              <w:bottom w:val="nil"/>
              <w:right w:val="nil"/>
            </w:tcBorders>
          </w:tcPr>
          <w:p w:rsidR="00962426" w:rsidRDefault="00962426">
            <w:pPr>
              <w:widowControl w:val="0"/>
              <w:tabs>
                <w:tab w:val="left" w:pos="60"/>
              </w:tabs>
              <w:spacing w:line="360" w:lineRule="auto"/>
              <w:rPr>
                <w:rFonts w:ascii="Times New Roman" w:hAnsi="Times New Roman" w:cs="Times New Roman"/>
                <w:b/>
                <w:bCs/>
                <w:color w:val="365F91"/>
                <w:sz w:val="24"/>
                <w:szCs w:val="24"/>
              </w:rPr>
            </w:pPr>
          </w:p>
        </w:tc>
        <w:tc>
          <w:tcPr>
            <w:tcW w:w="8964" w:type="dxa"/>
            <w:tcBorders>
              <w:top w:val="nil"/>
              <w:left w:val="nil"/>
              <w:bottom w:val="nil"/>
              <w:right w:val="nil"/>
            </w:tcBorders>
          </w:tcPr>
          <w:p w:rsidR="00962426" w:rsidRDefault="00962426">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962426" w:rsidRDefault="00962426">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sidR="006D37F8">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sidR="006D37F8">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Date &amp; Version</w:t>
            </w:r>
          </w:p>
        </w:tc>
      </w:tr>
      <w:tr w:rsidR="00962426" w:rsidTr="006D37F8">
        <w:trPr>
          <w:trHeight w:val="521"/>
        </w:trPr>
        <w:tc>
          <w:tcPr>
            <w:tcW w:w="1368" w:type="dxa"/>
            <w:tcBorders>
              <w:top w:val="nil"/>
              <w:left w:val="nil"/>
              <w:right w:val="nil"/>
            </w:tcBorders>
            <w:shd w:val="clear" w:color="auto" w:fill="D3DFEE"/>
          </w:tcPr>
          <w:p w:rsidR="00962426" w:rsidRDefault="0096242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8964" w:type="dxa"/>
            <w:tcBorders>
              <w:top w:val="nil"/>
              <w:left w:val="nil"/>
              <w:right w:val="nil"/>
            </w:tcBorders>
            <w:shd w:val="clear" w:color="auto" w:fill="D3DFEE"/>
          </w:tcPr>
          <w:p w:rsidR="00962426" w:rsidRDefault="00962426">
            <w:pPr>
              <w:widowControl w:val="0"/>
              <w:rPr>
                <w:rFonts w:ascii="Times New Roman" w:hAnsi="Times New Roman" w:cs="Times New Roman"/>
                <w:color w:val="365F91"/>
                <w:sz w:val="24"/>
                <w:szCs w:val="24"/>
              </w:rPr>
            </w:pPr>
          </w:p>
        </w:tc>
      </w:tr>
      <w:tr w:rsidR="00962426" w:rsidTr="006D37F8">
        <w:trPr>
          <w:trHeight w:val="521"/>
        </w:trPr>
        <w:tc>
          <w:tcPr>
            <w:tcW w:w="1368" w:type="dxa"/>
          </w:tcPr>
          <w:p w:rsidR="00962426" w:rsidRDefault="0096242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8964" w:type="dxa"/>
          </w:tcPr>
          <w:p w:rsidR="00962426" w:rsidRDefault="00962426">
            <w:pPr>
              <w:widowControl w:val="0"/>
              <w:rPr>
                <w:rFonts w:ascii="Times New Roman" w:hAnsi="Times New Roman" w:cs="Times New Roman"/>
                <w:color w:val="365F91"/>
                <w:sz w:val="24"/>
                <w:szCs w:val="24"/>
              </w:rPr>
            </w:pPr>
          </w:p>
        </w:tc>
      </w:tr>
    </w:tbl>
    <w:p w:rsidR="00962426" w:rsidRPr="00880BFF" w:rsidRDefault="00962426">
      <w:pPr>
        <w:pStyle w:val="Heading1"/>
        <w:numPr>
          <w:ilvl w:val="0"/>
          <w:numId w:val="0"/>
        </w:numPr>
        <w:rPr>
          <w:rFonts w:ascii="Tahoma" w:hAnsi="Tahoma"/>
          <w:b w:val="0"/>
          <w:color w:val="264B74"/>
          <w:sz w:val="40"/>
          <w:u w:val="none"/>
          <w14:shadow w14:blurRad="50800" w14:dist="38100" w14:dir="2700000" w14:sx="100000" w14:sy="100000" w14:kx="0" w14:ky="0" w14:algn="tl">
            <w14:srgbClr w14:val="000000">
              <w14:alpha w14:val="60000"/>
            </w14:srgbClr>
          </w14:shadow>
        </w:rPr>
      </w:pPr>
      <w:r>
        <w:rPr>
          <w:b w:val="0"/>
          <w:bCs w:val="0"/>
          <w:color w:val="003366"/>
          <w:sz w:val="24"/>
          <w:szCs w:val="24"/>
        </w:rPr>
        <w:br w:type="page"/>
      </w:r>
      <w:r w:rsidRPr="00880BFF">
        <w:rPr>
          <w:rFonts w:ascii="Tahoma" w:hAnsi="Tahoma"/>
          <w:b w:val="0"/>
          <w:color w:val="264B74"/>
          <w:sz w:val="40"/>
          <w:u w:val="none"/>
          <w14:shadow w14:blurRad="50800" w14:dist="38100" w14:dir="2700000" w14:sx="100000" w14:sy="100000" w14:kx="0" w14:ky="0" w14:algn="tl">
            <w14:srgbClr w14:val="000000">
              <w14:alpha w14:val="60000"/>
            </w14:srgbClr>
          </w14:shadow>
        </w:rPr>
        <w:t>Reliability Standard Language</w:t>
      </w:r>
    </w:p>
    <w:p w:rsidR="00962426" w:rsidRDefault="00962426">
      <w:pPr>
        <w:widowControl w:val="0"/>
        <w:shd w:val="clear" w:color="auto" w:fill="D3DCE9"/>
        <w:spacing w:line="120" w:lineRule="exact"/>
        <w:rPr>
          <w:rFonts w:ascii="Times New Roman" w:hAnsi="Times New Roman" w:cs="Times New Roman"/>
          <w:sz w:val="24"/>
          <w:szCs w:val="24"/>
        </w:rPr>
      </w:pPr>
    </w:p>
    <w:p w:rsidR="00962426" w:rsidRDefault="00962426">
      <w:pPr>
        <w:widowControl w:val="0"/>
        <w:shd w:val="clear" w:color="auto" w:fill="D3DCE9"/>
        <w:tabs>
          <w:tab w:val="left" w:pos="120"/>
        </w:tabs>
        <w:spacing w:line="240"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TPL-004-0 — System Performance Following Extreme Events Resulting in the Loss of Two or More Bulk Electric System Events (Category D)</w:t>
      </w:r>
    </w:p>
    <w:p w:rsidR="00962426" w:rsidRDefault="00962426">
      <w:pPr>
        <w:widowControl w:val="0"/>
        <w:shd w:val="clear" w:color="auto" w:fill="D3DCE9"/>
        <w:spacing w:line="135" w:lineRule="exact"/>
        <w:rPr>
          <w:rFonts w:ascii="Times New Roman" w:hAnsi="Times New Roman" w:cs="Times New Roman"/>
          <w:sz w:val="24"/>
          <w:szCs w:val="24"/>
        </w:rPr>
      </w:pPr>
    </w:p>
    <w:p w:rsidR="00962426" w:rsidRDefault="00962426">
      <w:pPr>
        <w:widowControl w:val="0"/>
        <w:spacing w:line="120" w:lineRule="exact"/>
        <w:rPr>
          <w:rFonts w:ascii="Times New Roman" w:hAnsi="Times New Roman" w:cs="Times New Roman"/>
          <w:sz w:val="24"/>
          <w:szCs w:val="24"/>
        </w:rPr>
      </w:pPr>
    </w:p>
    <w:p w:rsidR="006D37F8" w:rsidRDefault="006D37F8">
      <w:pPr>
        <w:widowControl w:val="0"/>
        <w:tabs>
          <w:tab w:val="left" w:pos="840"/>
        </w:tabs>
        <w:spacing w:line="294" w:lineRule="exact"/>
        <w:rPr>
          <w:rFonts w:ascii="Times New Roman" w:hAnsi="Times New Roman" w:cs="Times New Roman"/>
          <w:b/>
          <w:bCs/>
          <w:color w:val="264D74"/>
          <w:sz w:val="24"/>
          <w:szCs w:val="24"/>
        </w:rPr>
      </w:pPr>
    </w:p>
    <w:p w:rsidR="00962426" w:rsidRDefault="00962426">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 xml:space="preserve">Purpose: </w:t>
      </w:r>
    </w:p>
    <w:p w:rsidR="00962426" w:rsidRDefault="00962426">
      <w:pPr>
        <w:rPr>
          <w:rFonts w:ascii="Times New Roman" w:hAnsi="Times New Roman" w:cs="Times New Roman"/>
          <w:sz w:val="24"/>
          <w:szCs w:val="24"/>
        </w:rPr>
      </w:pPr>
      <w:r>
        <w:rPr>
          <w:rFonts w:ascii="Times New Roman" w:hAnsi="Times New Roman" w:cs="Times New Roman"/>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r>
        <w:rPr>
          <w:rFonts w:ascii="Times New Roman" w:hAnsi="Times New Roman" w:cs="Times New Roman"/>
          <w:sz w:val="24"/>
          <w:szCs w:val="24"/>
        </w:rPr>
        <w:tab/>
      </w:r>
    </w:p>
    <w:p w:rsidR="00962426" w:rsidRDefault="00962426">
      <w:pPr>
        <w:rPr>
          <w:rFonts w:ascii="Times New Roman" w:hAnsi="Times New Roman" w:cs="Times New Roman"/>
          <w:sz w:val="24"/>
          <w:szCs w:val="24"/>
        </w:rPr>
      </w:pPr>
    </w:p>
    <w:p w:rsidR="00962426" w:rsidRDefault="00962426">
      <w:pPr>
        <w:rPr>
          <w:rFonts w:ascii="Times New Roman" w:hAnsi="Times New Roman" w:cs="Times New Roman"/>
          <w:sz w:val="24"/>
          <w:szCs w:val="24"/>
        </w:rPr>
      </w:pPr>
    </w:p>
    <w:p w:rsidR="00962426" w:rsidRDefault="00962426">
      <w:pPr>
        <w:widowControl w:val="0"/>
        <w:tabs>
          <w:tab w:val="left" w:pos="84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Applicability:</w:t>
      </w:r>
    </w:p>
    <w:p w:rsidR="00962426" w:rsidRDefault="00962426">
      <w:pPr>
        <w:widowControl w:val="0"/>
        <w:tabs>
          <w:tab w:val="left" w:pos="900"/>
        </w:tabs>
        <w:spacing w:line="290" w:lineRule="exact"/>
        <w:rPr>
          <w:rFonts w:ascii="Times New Roman" w:hAnsi="Times New Roman" w:cs="Times New Roman"/>
          <w:sz w:val="24"/>
          <w:szCs w:val="24"/>
        </w:rPr>
      </w:pPr>
      <w:r>
        <w:rPr>
          <w:rFonts w:ascii="Times New Roman" w:hAnsi="Times New Roman" w:cs="Times New Roman"/>
          <w:sz w:val="24"/>
          <w:szCs w:val="24"/>
        </w:rPr>
        <w:tab/>
        <w:t>Planning Authority</w:t>
      </w:r>
    </w:p>
    <w:p w:rsidR="00962426" w:rsidRDefault="00962426">
      <w:pPr>
        <w:widowControl w:val="0"/>
        <w:tabs>
          <w:tab w:val="left" w:pos="900"/>
        </w:tabs>
        <w:spacing w:line="290" w:lineRule="exact"/>
        <w:rPr>
          <w:rFonts w:ascii="Times New Roman" w:hAnsi="Times New Roman" w:cs="Times New Roman"/>
          <w:color w:val="FF0000"/>
          <w:sz w:val="24"/>
          <w:szCs w:val="24"/>
        </w:rPr>
      </w:pPr>
      <w:r>
        <w:rPr>
          <w:rFonts w:ascii="Times New Roman" w:hAnsi="Times New Roman" w:cs="Times New Roman"/>
          <w:sz w:val="24"/>
          <w:szCs w:val="24"/>
        </w:rPr>
        <w:tab/>
        <w:t>Transmission Planner</w:t>
      </w:r>
    </w:p>
    <w:p w:rsidR="00962426" w:rsidRDefault="00962426">
      <w:pPr>
        <w:widowControl w:val="0"/>
        <w:spacing w:line="254" w:lineRule="exact"/>
        <w:rPr>
          <w:rFonts w:ascii="Times New Roman" w:hAnsi="Times New Roman" w:cs="Times New Roman"/>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p>
    <w:p w:rsidR="00962426" w:rsidRDefault="00962426">
      <w:pPr>
        <w:widowControl w:val="0"/>
        <w:tabs>
          <w:tab w:val="left" w:pos="480"/>
        </w:tabs>
        <w:spacing w:line="29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NERC BOT Approval Date</w:t>
      </w:r>
      <w:r>
        <w:rPr>
          <w:rFonts w:ascii="Times New Roman" w:hAnsi="Times New Roman" w:cs="Times New Roman"/>
          <w:b/>
          <w:bCs/>
          <w:sz w:val="24"/>
          <w:szCs w:val="24"/>
        </w:rPr>
        <w:t>: 2/8/2005</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FERC Approval Date: 3/16/2007</w:t>
      </w:r>
    </w:p>
    <w:p w:rsidR="00962426" w:rsidRDefault="00962426">
      <w:pPr>
        <w:widowControl w:val="0"/>
        <w:spacing w:line="120" w:lineRule="exact"/>
        <w:rPr>
          <w:rFonts w:ascii="Times New Roman" w:hAnsi="Times New Roman" w:cs="Times New Roman"/>
          <w:sz w:val="24"/>
          <w:szCs w:val="24"/>
        </w:rPr>
      </w:pPr>
    </w:p>
    <w:p w:rsidR="00962426" w:rsidRDefault="00962426">
      <w:pPr>
        <w:widowControl w:val="0"/>
        <w:tabs>
          <w:tab w:val="left" w:pos="480"/>
        </w:tabs>
        <w:spacing w:line="240" w:lineRule="exact"/>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ity">
          <w:r>
            <w:rPr>
              <w:rFonts w:ascii="Times New Roman" w:hAnsi="Times New Roman" w:cs="Times New Roman"/>
              <w:b/>
              <w:bCs/>
              <w:color w:val="000000"/>
              <w:sz w:val="24"/>
              <w:szCs w:val="24"/>
            </w:rPr>
            <w:t>United States</w:t>
          </w:r>
        </w:smartTag>
      </w:smartTag>
      <w:r>
        <w:rPr>
          <w:rFonts w:ascii="Times New Roman" w:hAnsi="Times New Roman" w:cs="Times New Roman"/>
          <w:b/>
          <w:bCs/>
          <w:color w:val="000000"/>
          <w:sz w:val="24"/>
          <w:szCs w:val="24"/>
        </w:rPr>
        <w:t>: 6/18/2007</w:t>
      </w:r>
    </w:p>
    <w:p w:rsidR="00962426" w:rsidRDefault="00962426">
      <w:pPr>
        <w:widowControl w:val="0"/>
        <w:spacing w:line="240" w:lineRule="exact"/>
        <w:rPr>
          <w:rFonts w:ascii="Times New Roman" w:hAnsi="Times New Roman" w:cs="Times New Roman"/>
          <w:sz w:val="24"/>
          <w:szCs w:val="24"/>
        </w:rPr>
      </w:pPr>
    </w:p>
    <w:p w:rsidR="00962426" w:rsidRDefault="00962426">
      <w:pPr>
        <w:widowControl w:val="0"/>
        <w:spacing w:line="240" w:lineRule="exact"/>
        <w:rPr>
          <w:rFonts w:ascii="Times New Roman" w:hAnsi="Times New Roman" w:cs="Times New Roman"/>
          <w:sz w:val="24"/>
          <w:szCs w:val="24"/>
        </w:rPr>
      </w:pPr>
    </w:p>
    <w:p w:rsidR="006D37F8" w:rsidRDefault="006D37F8">
      <w:pPr>
        <w:widowControl w:val="0"/>
        <w:spacing w:line="294" w:lineRule="exact"/>
        <w:rPr>
          <w:rFonts w:ascii="Times New Roman" w:hAnsi="Times New Roman" w:cs="Times New Roman"/>
          <w:b/>
          <w:bCs/>
          <w:color w:val="003366"/>
          <w:sz w:val="24"/>
          <w:szCs w:val="24"/>
        </w:rPr>
      </w:pPr>
    </w:p>
    <w:p w:rsidR="00962426" w:rsidRDefault="00962426">
      <w:pPr>
        <w:widowControl w:val="0"/>
        <w:spacing w:line="294" w:lineRule="exact"/>
        <w:rPr>
          <w:rFonts w:ascii="Times New Roman" w:hAnsi="Times New Roman" w:cs="Times New Roman"/>
          <w:b/>
          <w:bCs/>
          <w:color w:val="003366"/>
          <w:sz w:val="24"/>
          <w:szCs w:val="24"/>
        </w:rPr>
      </w:pPr>
      <w:r>
        <w:rPr>
          <w:rFonts w:ascii="Times New Roman" w:hAnsi="Times New Roman" w:cs="Times New Roman"/>
          <w:b/>
          <w:bCs/>
          <w:color w:val="003366"/>
          <w:sz w:val="24"/>
          <w:szCs w:val="24"/>
        </w:rPr>
        <w:t>Requirements:</w:t>
      </w:r>
    </w:p>
    <w:p w:rsidR="00962426" w:rsidRDefault="00962426">
      <w:pPr>
        <w:widowControl w:val="0"/>
        <w:spacing w:line="294" w:lineRule="exact"/>
        <w:rPr>
          <w:rFonts w:ascii="Times New Roman" w:hAnsi="Times New Roman" w:cs="Times New Roman"/>
          <w:b/>
          <w:bCs/>
          <w:color w:val="003366"/>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 xml:space="preserve">R1. </w:t>
      </w:r>
      <w:r>
        <w:rPr>
          <w:rFonts w:ascii="Times New Roman" w:hAnsi="Times New Roman" w:cs="Times New Roman"/>
          <w:b/>
          <w:bCs/>
          <w:sz w:val="24"/>
          <w:szCs w:val="24"/>
        </w:rPr>
        <w:tab/>
      </w:r>
      <w:r>
        <w:rPr>
          <w:rFonts w:ascii="Times New Roman" w:hAnsi="Times New Roman" w:cs="Times New Roman"/>
          <w:sz w:val="24"/>
          <w:szCs w:val="24"/>
        </w:rPr>
        <w:t>The Planning Authority and Transmission Planner shall each demonstrate through a valid assessment that its portion of the interconnected transmission system is evaluated for the risks and consequences of a number of each of the extreme contingencies that are listed under Category D of Table I.  To be valid, the Planning Authority’s and Transmission Planner’s assessment shall:</w:t>
      </w:r>
    </w:p>
    <w:p w:rsidR="00962426" w:rsidRDefault="00962426">
      <w:pPr>
        <w:ind w:left="720" w:hanging="720"/>
        <w:rPr>
          <w:rFonts w:ascii="Times New Roman" w:hAnsi="Times New Roman" w:cs="Times New Roman"/>
          <w:b/>
          <w:bCs/>
          <w:sz w:val="24"/>
          <w:szCs w:val="24"/>
        </w:rPr>
      </w:pPr>
      <w:r>
        <w:rPr>
          <w:rFonts w:ascii="Times New Roman" w:hAnsi="Times New Roman" w:cs="Times New Roman"/>
          <w:b/>
          <w:bCs/>
          <w:sz w:val="24"/>
          <w:szCs w:val="24"/>
        </w:rPr>
        <w:tab/>
      </w: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R1.1. </w:t>
      </w:r>
      <w:r>
        <w:rPr>
          <w:rFonts w:ascii="Times New Roman" w:hAnsi="Times New Roman" w:cs="Times New Roman"/>
          <w:sz w:val="24"/>
          <w:szCs w:val="24"/>
        </w:rPr>
        <w:t>Be made annually.</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R1.2. </w:t>
      </w:r>
      <w:r>
        <w:rPr>
          <w:rFonts w:ascii="Times New Roman" w:hAnsi="Times New Roman" w:cs="Times New Roman"/>
          <w:sz w:val="24"/>
          <w:szCs w:val="24"/>
        </w:rPr>
        <w:t>Be conducted for near-term (years one through five).</w:t>
      </w:r>
    </w:p>
    <w:p w:rsidR="00962426" w:rsidRDefault="00962426">
      <w:pPr>
        <w:ind w:left="720" w:hanging="72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R1.3. </w:t>
      </w:r>
      <w:r>
        <w:rPr>
          <w:rFonts w:ascii="Times New Roman" w:hAnsi="Times New Roman" w:cs="Times New Roman"/>
          <w:sz w:val="24"/>
          <w:szCs w:val="24"/>
        </w:rPr>
        <w:t>Be supported by a current or past study and/or system simulation testing that addresses each of the</w:t>
      </w:r>
      <w:r>
        <w:rPr>
          <w:rFonts w:ascii="Times New Roman" w:hAnsi="Times New Roman" w:cs="Times New Roman"/>
          <w:b/>
          <w:bCs/>
          <w:sz w:val="24"/>
          <w:szCs w:val="24"/>
        </w:rPr>
        <w:t xml:space="preserve"> </w:t>
      </w:r>
      <w:r>
        <w:rPr>
          <w:rFonts w:ascii="Times New Roman" w:hAnsi="Times New Roman" w:cs="Times New Roman"/>
          <w:sz w:val="24"/>
          <w:szCs w:val="24"/>
        </w:rPr>
        <w:t>following categories, showing system performance following Category D contingencies of Table I.  The specific elements selected (from within each of the following categories) for inclusion in these studies and simulations shall be acceptable to the associated Regional Reliability Organization(s).</w:t>
      </w:r>
    </w:p>
    <w:p w:rsidR="00962426" w:rsidRDefault="00962426">
      <w:pPr>
        <w:ind w:left="720" w:hanging="72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R1.3.1. </w:t>
      </w:r>
      <w:r>
        <w:rPr>
          <w:rFonts w:ascii="Times New Roman" w:hAnsi="Times New Roman" w:cs="Times New Roman"/>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R1.3.2. </w:t>
      </w:r>
      <w:r>
        <w:rPr>
          <w:rFonts w:ascii="Times New Roman" w:hAnsi="Times New Roman" w:cs="Times New Roman"/>
          <w:sz w:val="24"/>
          <w:szCs w:val="24"/>
        </w:rPr>
        <w:t>Cover critical system conditions and study years as deemed appropriate by the responsible entity.</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R1.3.3. </w:t>
      </w:r>
      <w:r>
        <w:rPr>
          <w:rFonts w:ascii="Times New Roman" w:hAnsi="Times New Roman" w:cs="Times New Roman"/>
          <w:sz w:val="24"/>
          <w:szCs w:val="24"/>
        </w:rPr>
        <w:t>Be conducted annually unless changes to system conditions do not warrant such analyses.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R1.3.4. </w:t>
      </w:r>
      <w:r>
        <w:rPr>
          <w:rFonts w:ascii="Times New Roman" w:hAnsi="Times New Roman" w:cs="Times New Roman"/>
          <w:sz w:val="24"/>
          <w:szCs w:val="24"/>
        </w:rPr>
        <w:t>Have all projected firm transfers modeled.</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R1.3.5. </w:t>
      </w:r>
      <w:r>
        <w:rPr>
          <w:rFonts w:ascii="Times New Roman" w:hAnsi="Times New Roman" w:cs="Times New Roman"/>
          <w:sz w:val="24"/>
          <w:szCs w:val="24"/>
        </w:rPr>
        <w:t>Include existing and planned facilities.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R1.3.6. </w:t>
      </w:r>
      <w:r>
        <w:rPr>
          <w:rFonts w:ascii="Times New Roman" w:hAnsi="Times New Roman" w:cs="Times New Roman"/>
          <w:sz w:val="24"/>
          <w:szCs w:val="24"/>
        </w:rPr>
        <w:t>Include Reactive Power resources to ensure that adequate reactive resources are available to meet system performance.</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R1.3.7. </w:t>
      </w:r>
      <w:r>
        <w:rPr>
          <w:rFonts w:ascii="Times New Roman" w:hAnsi="Times New Roman" w:cs="Times New Roman"/>
          <w:sz w:val="24"/>
          <w:szCs w:val="24"/>
        </w:rPr>
        <w:t>Include the effects of existing and planned protection systems, including any backup or redundant systems.</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R1.3.8. </w:t>
      </w:r>
      <w:r>
        <w:rPr>
          <w:rFonts w:ascii="Times New Roman" w:hAnsi="Times New Roman" w:cs="Times New Roman"/>
          <w:sz w:val="24"/>
          <w:szCs w:val="24"/>
        </w:rPr>
        <w:t xml:space="preserve">Include the effects of existing and planned control devices. </w:t>
      </w:r>
    </w:p>
    <w:p w:rsidR="00962426" w:rsidRDefault="00962426">
      <w:pPr>
        <w:ind w:left="1440"/>
        <w:rPr>
          <w:rFonts w:ascii="Times New Roman" w:hAnsi="Times New Roman" w:cs="Times New Roman"/>
          <w:b/>
          <w:bCs/>
          <w:sz w:val="24"/>
          <w:szCs w:val="24"/>
        </w:rPr>
      </w:pPr>
    </w:p>
    <w:p w:rsidR="00962426" w:rsidRDefault="00962426">
      <w:pPr>
        <w:ind w:left="1440"/>
        <w:rPr>
          <w:rFonts w:ascii="Times New Roman" w:hAnsi="Times New Roman" w:cs="Times New Roman"/>
          <w:sz w:val="24"/>
          <w:szCs w:val="24"/>
        </w:rPr>
      </w:pPr>
      <w:r>
        <w:rPr>
          <w:rFonts w:ascii="Times New Roman" w:hAnsi="Times New Roman" w:cs="Times New Roman"/>
          <w:b/>
          <w:bCs/>
          <w:sz w:val="24"/>
          <w:szCs w:val="24"/>
        </w:rPr>
        <w:t xml:space="preserve">R1.3.9. </w:t>
      </w:r>
      <w:r>
        <w:rPr>
          <w:rFonts w:ascii="Times New Roman" w:hAnsi="Times New Roman" w:cs="Times New Roman"/>
          <w:sz w:val="24"/>
          <w:szCs w:val="24"/>
        </w:rPr>
        <w:t>Include the planned (including maintenance) outage of any bulk electric equipment (including protection systems or their components) at those demand levels for which planned (including maintenance) outages are performed.</w:t>
      </w:r>
    </w:p>
    <w:p w:rsidR="00962426" w:rsidRDefault="00962426">
      <w:pPr>
        <w:ind w:left="1440"/>
        <w:rPr>
          <w:rFonts w:ascii="Times New Roman" w:hAnsi="Times New Roman" w:cs="Times New Roman"/>
          <w:b/>
          <w:bCs/>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bCs/>
          <w:sz w:val="24"/>
          <w:szCs w:val="24"/>
        </w:rPr>
        <w:tab/>
        <w:t xml:space="preserve">R1.4. </w:t>
      </w:r>
      <w:r>
        <w:rPr>
          <w:rFonts w:ascii="Times New Roman" w:hAnsi="Times New Roman" w:cs="Times New Roman"/>
          <w:sz w:val="24"/>
          <w:szCs w:val="24"/>
        </w:rPr>
        <w:t>Consider all contingencies applicable to Category D.</w:t>
      </w:r>
    </w:p>
    <w:p w:rsidR="00962426" w:rsidRDefault="00962426">
      <w:pPr>
        <w:spacing w:line="360" w:lineRule="exact"/>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R1.</w:t>
      </w:r>
    </w:p>
    <w:p w:rsidR="00962426" w:rsidRDefault="00962426">
      <w:pPr>
        <w:widowControl w:val="0"/>
        <w:spacing w:line="106" w:lineRule="exact"/>
        <w:rPr>
          <w:rFonts w:ascii="Times New Roman" w:hAnsi="Times New Roman" w:cs="Times New Roman"/>
          <w:sz w:val="24"/>
          <w:szCs w:val="24"/>
        </w:rPr>
      </w:pPr>
    </w:p>
    <w:p w:rsidR="00962426" w:rsidRDefault="00962426">
      <w:pPr>
        <w:rPr>
          <w:rFonts w:ascii="Times New Roman" w:hAnsi="Times New Roman" w:cs="Times New Roman"/>
          <w:bCs/>
          <w:color w:val="000000"/>
          <w:sz w:val="24"/>
          <w:szCs w:val="24"/>
        </w:rPr>
      </w:pPr>
    </w:p>
    <w:p w:rsidR="00962426" w:rsidRDefault="00962426">
      <w:pPr>
        <w:rPr>
          <w:rFonts w:ascii="Times New Roman" w:hAnsi="Times New Roman" w:cs="Times New Roman"/>
          <w:sz w:val="24"/>
          <w:szCs w:val="24"/>
        </w:rPr>
      </w:pPr>
      <w:r>
        <w:rPr>
          <w:rFonts w:ascii="Times New Roman" w:hAnsi="Times New Roman" w:cs="Times New Roman"/>
          <w:sz w:val="24"/>
          <w:szCs w:val="24"/>
        </w:rPr>
        <w:t>NOTE:  Table D states that the number of extreme contingencies that are judged to be critical by the transmission planning entities will be selected for evaluation.  It is not expected that all possible facility outages under each listed contingency of Category D of Table I will be evaluated.</w:t>
      </w:r>
    </w:p>
    <w:p w:rsidR="00962426" w:rsidRDefault="00962426">
      <w:pPr>
        <w:rPr>
          <w:rFonts w:ascii="Times New Roman" w:hAnsi="Times New Roman" w:cs="Times New Roman"/>
          <w:sz w:val="24"/>
          <w:szCs w:val="24"/>
        </w:rPr>
      </w:pPr>
    </w:p>
    <w:p w:rsidR="00962426" w:rsidRPr="006D37F8" w:rsidRDefault="00962426">
      <w:pPr>
        <w:ind w:left="81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Determine if entity has completed an Assessment that studies if its portion of the interconnected transmission system is evaluated to meet Requirement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above Assessment is conducted annually.</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 xml:space="preserve">Confirm that the Assessment looks at the: </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______</w:t>
      </w:r>
      <w:r w:rsidRPr="006D37F8">
        <w:rPr>
          <w:rFonts w:ascii="Times New Roman" w:hAnsi="Times New Roman" w:cs="Times New Roman"/>
          <w:color w:val="365F91"/>
          <w:sz w:val="24"/>
          <w:szCs w:val="24"/>
        </w:rPr>
        <w:t>1-5 year planning horizon range.</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color w:val="365F91"/>
          <w:sz w:val="24"/>
          <w:szCs w:val="24"/>
          <w:u w:val="single"/>
        </w:rPr>
        <w:t xml:space="preserve">            </w:t>
      </w:r>
      <w:r w:rsidRPr="006D37F8">
        <w:rPr>
          <w:rFonts w:ascii="Times New Roman" w:hAnsi="Times New Roman" w:cs="Times New Roman"/>
          <w:color w:val="365F91"/>
          <w:sz w:val="24"/>
          <w:szCs w:val="24"/>
        </w:rPr>
        <w:t>6-10 year planning horizon range.</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tabs>
          <w:tab w:val="left" w:pos="450"/>
        </w:tabs>
        <w:ind w:left="117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D of Table 1:</w:t>
      </w:r>
    </w:p>
    <w:p w:rsidR="00962426" w:rsidRPr="006D37F8" w:rsidRDefault="00962426">
      <w:pPr>
        <w:ind w:left="36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performed and evaluated only for those Category D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980" w:hanging="90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Cover critical system conditions and study years as deemed appropriate by the responsible entity.</w:t>
      </w:r>
    </w:p>
    <w:p w:rsidR="00962426" w:rsidRPr="006D37F8" w:rsidRDefault="00962426">
      <w:pPr>
        <w:ind w:left="1080"/>
        <w:rPr>
          <w:rFonts w:ascii="Times New Roman" w:hAnsi="Times New Roman" w:cs="Times New Roman"/>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Be conducted annually unless changes to system conditions do not warrant such analyses.</w:t>
      </w:r>
    </w:p>
    <w:p w:rsidR="00962426" w:rsidRPr="006D37F8" w:rsidRDefault="00962426">
      <w:pPr>
        <w:ind w:left="1890" w:hanging="810"/>
        <w:rPr>
          <w:rFonts w:ascii="Times New Roman" w:hAnsi="Times New Roman" w:cs="Times New Roman"/>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Have all projected firm transfers modeled.</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existing and planned facilities.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Reactive Power resources to ensure that adequate reactive resources are available to meet system performance.</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protection systems, including any backup or redundant systems.</w:t>
      </w:r>
    </w:p>
    <w:p w:rsidR="00962426" w:rsidRPr="006D37F8" w:rsidRDefault="00962426">
      <w:pPr>
        <w:ind w:left="108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effects of existing and planned control devices.</w:t>
      </w:r>
    </w:p>
    <w:p w:rsidR="00962426" w:rsidRPr="006D37F8" w:rsidRDefault="00962426">
      <w:pPr>
        <w:ind w:left="1080"/>
        <w:rPr>
          <w:rFonts w:ascii="Times New Roman" w:hAnsi="Times New Roman" w:cs="Times New Roman"/>
          <w:b/>
          <w:color w:val="365F91"/>
          <w:sz w:val="24"/>
          <w:szCs w:val="24"/>
        </w:rPr>
      </w:pPr>
    </w:p>
    <w:p w:rsidR="00962426" w:rsidRPr="006D37F8" w:rsidRDefault="00962426">
      <w:pPr>
        <w:ind w:left="1890" w:hanging="81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962426" w:rsidRPr="006D37F8" w:rsidRDefault="00962426">
      <w:pPr>
        <w:ind w:left="360"/>
        <w:rPr>
          <w:rFonts w:ascii="Times New Roman" w:hAnsi="Times New Roman" w:cs="Times New Roman"/>
          <w:b/>
          <w:color w:val="365F91"/>
          <w:sz w:val="24"/>
          <w:szCs w:val="24"/>
        </w:rPr>
      </w:pPr>
    </w:p>
    <w:p w:rsidR="00962426" w:rsidRPr="006D37F8" w:rsidRDefault="00962426">
      <w:pPr>
        <w:ind w:left="360"/>
        <w:rPr>
          <w:rFonts w:ascii="Times New Roman" w:hAnsi="Times New Roman" w:cs="Times New Roman"/>
          <w:color w:val="365F91"/>
          <w:sz w:val="24"/>
          <w:szCs w:val="24"/>
        </w:rPr>
      </w:pPr>
      <w:r w:rsidRPr="006D37F8">
        <w:rPr>
          <w:rFonts w:ascii="Times New Roman" w:hAnsi="Times New Roman" w:cs="Times New Roman"/>
          <w:b/>
          <w:color w:val="365F91"/>
          <w:sz w:val="24"/>
          <w:szCs w:val="24"/>
        </w:rPr>
        <w:t xml:space="preserve">______ </w:t>
      </w:r>
      <w:r w:rsidRPr="006D37F8">
        <w:rPr>
          <w:rFonts w:ascii="Times New Roman" w:hAnsi="Times New Roman" w:cs="Times New Roman"/>
          <w:color w:val="365F91"/>
          <w:sz w:val="24"/>
          <w:szCs w:val="24"/>
        </w:rPr>
        <w:t>Confirm that the Assessment considers all contingencies applicable to Category D of Table I.</w:t>
      </w:r>
    </w:p>
    <w:p w:rsidR="00962426" w:rsidRPr="006D37F8" w:rsidRDefault="00962426">
      <w:pPr>
        <w:widowControl w:val="0"/>
        <w:tabs>
          <w:tab w:val="left" w:pos="1080"/>
          <w:tab w:val="left" w:pos="1620"/>
          <w:tab w:val="left" w:pos="2160"/>
          <w:tab w:val="left" w:pos="2880"/>
        </w:tabs>
        <w:spacing w:line="240" w:lineRule="exact"/>
        <w:ind w:left="1627" w:hanging="1627"/>
        <w:rPr>
          <w:rFonts w:ascii="Times New Roman" w:hAnsi="Times New Roman" w:cs="Times New Roman"/>
          <w:color w:val="365F91"/>
          <w:sz w:val="24"/>
          <w:szCs w:val="24"/>
        </w:rPr>
      </w:pPr>
      <w:r w:rsidRPr="006D37F8">
        <w:rPr>
          <w:rFonts w:ascii="Times New Roman" w:hAnsi="Times New Roman" w:cs="Times New Roman"/>
          <w:bCs/>
          <w:color w:val="365F91"/>
          <w:sz w:val="24"/>
          <w:szCs w:val="24"/>
        </w:rPr>
        <w:t xml:space="preserve"> </w:t>
      </w:r>
    </w:p>
    <w:p w:rsidR="00AC11ED" w:rsidRDefault="00AC11ED">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62426">
        <w:tc>
          <w:tcPr>
            <w:tcW w:w="7848" w:type="dxa"/>
            <w:tcBorders>
              <w:top w:val="single" w:sz="8" w:space="0" w:color="4F81BD"/>
              <w:left w:val="nil"/>
              <w:bottom w:val="single" w:sz="8" w:space="0" w:color="4F81BD"/>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962426">
        <w:tc>
          <w:tcPr>
            <w:tcW w:w="7848" w:type="dxa"/>
            <w:tcBorders>
              <w:top w:val="nil"/>
              <w:left w:val="nil"/>
              <w:bottom w:val="nil"/>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r w:rsidR="00962426">
        <w:tc>
          <w:tcPr>
            <w:tcW w:w="7848" w:type="dxa"/>
            <w:tcBorders>
              <w:top w:val="nil"/>
              <w:left w:val="nil"/>
              <w:bottom w:val="nil"/>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r w:rsidR="00962426">
        <w:tc>
          <w:tcPr>
            <w:tcW w:w="7848" w:type="dxa"/>
            <w:tcBorders>
              <w:top w:val="nil"/>
              <w:left w:val="nil"/>
              <w:bottom w:val="single" w:sz="8" w:space="0" w:color="4F81BD"/>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spacing w:line="281" w:lineRule="exact"/>
        <w:rPr>
          <w:rFonts w:ascii="Times New Roman" w:hAnsi="Times New Roman" w:cs="Times New Roman"/>
          <w:sz w:val="24"/>
          <w:szCs w:val="24"/>
        </w:rPr>
      </w:pPr>
    </w:p>
    <w:p w:rsidR="00962426" w:rsidRDefault="00962426">
      <w:pPr>
        <w:rPr>
          <w:rFonts w:ascii="Times New Roman" w:hAnsi="Times New Roman" w:cs="Times New Roman"/>
          <w:b/>
          <w:sz w:val="24"/>
          <w:szCs w:val="24"/>
        </w:rPr>
      </w:pPr>
    </w:p>
    <w:p w:rsidR="00962426" w:rsidRDefault="00962426">
      <w:pPr>
        <w:ind w:left="720" w:hanging="720"/>
        <w:rPr>
          <w:rFonts w:ascii="Times New Roman" w:hAnsi="Times New Roman" w:cs="Times New Roman"/>
          <w:sz w:val="24"/>
          <w:szCs w:val="24"/>
        </w:rPr>
      </w:pPr>
      <w:r>
        <w:rPr>
          <w:rFonts w:ascii="Times New Roman" w:hAnsi="Times New Roman" w:cs="Times New Roman"/>
          <w:b/>
          <w:sz w:val="24"/>
          <w:szCs w:val="24"/>
        </w:rPr>
        <w:t>R2.</w:t>
      </w:r>
      <w:r>
        <w:rPr>
          <w:rFonts w:ascii="Times New Roman" w:hAnsi="Times New Roman" w:cs="Times New Roman"/>
          <w:b/>
          <w:sz w:val="24"/>
          <w:szCs w:val="24"/>
        </w:rPr>
        <w:tab/>
      </w:r>
      <w:r>
        <w:rPr>
          <w:rFonts w:ascii="Times New Roman" w:hAnsi="Times New Roman" w:cs="Times New Roman"/>
          <w:sz w:val="24"/>
          <w:szCs w:val="24"/>
        </w:rPr>
        <w:t>The Planning Authority and Transmission Planner shall each document the results of its reliability assessments and shall annually provide the results to its entities’ respective NERC Regional Reliability Organization(s), as required by the Regional Reliability Organization.</w:t>
      </w:r>
    </w:p>
    <w:p w:rsidR="00962426" w:rsidRDefault="00962426">
      <w:pPr>
        <w:widowControl w:val="0"/>
        <w:tabs>
          <w:tab w:val="left" w:pos="720"/>
          <w:tab w:val="left" w:pos="1440"/>
        </w:tabs>
        <w:spacing w:line="360" w:lineRule="exact"/>
        <w:ind w:left="720" w:hanging="720"/>
        <w:rPr>
          <w:rFonts w:ascii="Times New Roman" w:hAnsi="Times New Roman" w:cs="Times New Roman"/>
          <w:sz w:val="24"/>
          <w:szCs w:val="24"/>
        </w:rPr>
      </w:pPr>
    </w:p>
    <w:p w:rsidR="00962426" w:rsidRDefault="00962426">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Describe, in narrative form, how you meet compliance with this requirement: </w:t>
      </w:r>
      <w:r>
        <w:rPr>
          <w:rFonts w:ascii="Times New Roman" w:hAnsi="Times New Roman" w:cs="Times New Roman"/>
          <w:b/>
          <w:bCs/>
          <w:i/>
          <w:iCs/>
          <w:color w:val="000000"/>
          <w:sz w:val="24"/>
          <w:szCs w:val="24"/>
        </w:rPr>
        <w:t>(Registered Entity Response Required)</w:t>
      </w:r>
    </w:p>
    <w:p w:rsidR="00962426" w:rsidRDefault="00962426">
      <w:pPr>
        <w:widowControl w:val="0"/>
        <w:tabs>
          <w:tab w:val="left" w:pos="720"/>
        </w:tabs>
        <w:spacing w:line="186" w:lineRule="exact"/>
        <w:ind w:left="720"/>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i/>
          <w:iCs/>
          <w:color w:val="C00000"/>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C00000"/>
          <w:sz w:val="24"/>
          <w:szCs w:val="24"/>
        </w:rPr>
      </w:pPr>
      <w:r>
        <w:rPr>
          <w:rFonts w:ascii="Times New Roman" w:hAnsi="Times New Roman" w:cs="Times New Roman"/>
          <w:b/>
          <w:i/>
          <w:iCs/>
          <w:color w:val="C00000"/>
          <w:sz w:val="24"/>
          <w:szCs w:val="24"/>
        </w:rPr>
        <w:t>This section must be completed by the Compliance Enforcement Authority.</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962426" w:rsidRDefault="00962426">
      <w:pPr>
        <w:widowControl w:val="0"/>
        <w:tabs>
          <w:tab w:val="left" w:pos="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Compliance Assessment Approach Specific to TPL-004-0 R2.</w:t>
      </w:r>
    </w:p>
    <w:p w:rsidR="00962426" w:rsidRDefault="00962426">
      <w:pPr>
        <w:widowControl w:val="0"/>
        <w:tabs>
          <w:tab w:val="left" w:pos="60"/>
        </w:tabs>
        <w:spacing w:line="294" w:lineRule="exact"/>
        <w:rPr>
          <w:rFonts w:ascii="Times New Roman" w:hAnsi="Times New Roman" w:cs="Times New Roman"/>
          <w:b/>
          <w:bCs/>
          <w:color w:val="264D74"/>
          <w:sz w:val="24"/>
          <w:szCs w:val="24"/>
        </w:rPr>
      </w:pPr>
    </w:p>
    <w:p w:rsidR="00653DA0" w:rsidRPr="00444965" w:rsidRDefault="00653DA0" w:rsidP="00653DA0">
      <w:pPr>
        <w:ind w:left="1080" w:hanging="718"/>
        <w:rPr>
          <w:rFonts w:ascii="Times New Roman" w:hAnsi="Times New Roman" w:cs="Times New Roman"/>
          <w:color w:val="365F91"/>
          <w:sz w:val="24"/>
          <w:szCs w:val="24"/>
        </w:rPr>
      </w:pPr>
      <w:r w:rsidRPr="00444965">
        <w:rPr>
          <w:rFonts w:ascii="Times New Roman" w:hAnsi="Times New Roman" w:cs="Times New Roman"/>
          <w:color w:val="365F91"/>
          <w:sz w:val="24"/>
          <w:szCs w:val="24"/>
        </w:rPr>
        <w:t xml:space="preserve"> </w:t>
      </w:r>
      <w:r w:rsidRPr="00444965">
        <w:rPr>
          <w:rFonts w:ascii="Times New Roman" w:hAnsi="Times New Roman" w:cs="Times New Roman"/>
          <w:color w:val="365F91"/>
          <w:sz w:val="24"/>
          <w:szCs w:val="24"/>
          <w:u w:val="single"/>
        </w:rPr>
        <w:t xml:space="preserve">           </w:t>
      </w:r>
      <w:r w:rsidRPr="00444965">
        <w:rPr>
          <w:rFonts w:ascii="Times New Roman" w:hAnsi="Times New Roman" w:cs="Times New Roman"/>
          <w:color w:val="365F91"/>
          <w:sz w:val="24"/>
          <w:szCs w:val="24"/>
        </w:rPr>
        <w:t xml:space="preserve">Determine if entity has documented the results of </w:t>
      </w:r>
      <w:r w:rsidR="00444965" w:rsidRPr="00444965">
        <w:rPr>
          <w:rFonts w:ascii="Times New Roman" w:hAnsi="Times New Roman" w:cs="Times New Roman"/>
          <w:color w:val="365F91"/>
          <w:sz w:val="24"/>
          <w:szCs w:val="24"/>
        </w:rPr>
        <w:t>its reliability Assessments per</w:t>
      </w:r>
      <w:r w:rsidRPr="00444965">
        <w:rPr>
          <w:rFonts w:ascii="Times New Roman" w:hAnsi="Times New Roman" w:cs="Times New Roman"/>
          <w:color w:val="365F91"/>
          <w:sz w:val="24"/>
          <w:szCs w:val="24"/>
        </w:rPr>
        <w:t xml:space="preserve"> TPL-004-0 Requirement 2.</w:t>
      </w:r>
    </w:p>
    <w:p w:rsidR="00653DA0" w:rsidRPr="00444965" w:rsidRDefault="00653DA0">
      <w:pPr>
        <w:ind w:left="1080" w:hanging="720"/>
        <w:rPr>
          <w:rFonts w:ascii="Times New Roman" w:hAnsi="Times New Roman" w:cs="Times New Roman"/>
          <w:color w:val="365F91"/>
          <w:sz w:val="24"/>
          <w:szCs w:val="24"/>
        </w:rPr>
      </w:pPr>
    </w:p>
    <w:p w:rsidR="00962426" w:rsidRPr="00444965" w:rsidRDefault="00962426">
      <w:pPr>
        <w:ind w:left="1080" w:hanging="720"/>
        <w:rPr>
          <w:rFonts w:ascii="Times New Roman" w:hAnsi="Times New Roman" w:cs="Times New Roman"/>
          <w:color w:val="365F91"/>
          <w:sz w:val="24"/>
          <w:szCs w:val="24"/>
        </w:rPr>
      </w:pPr>
      <w:r w:rsidRPr="00444965">
        <w:rPr>
          <w:rFonts w:ascii="Times New Roman" w:hAnsi="Times New Roman" w:cs="Times New Roman"/>
          <w:b/>
          <w:color w:val="365F91"/>
          <w:sz w:val="24"/>
          <w:szCs w:val="24"/>
        </w:rPr>
        <w:t>______</w:t>
      </w:r>
      <w:r w:rsidRPr="00444965">
        <w:rPr>
          <w:rFonts w:ascii="Times New Roman" w:hAnsi="Times New Roman" w:cs="Times New Roman"/>
          <w:color w:val="365F91"/>
          <w:sz w:val="24"/>
          <w:szCs w:val="24"/>
        </w:rPr>
        <w:t>Review the evidence provided to determine if documentation has been submitted to the entity’s Regional Reliability Organization/Regional Entity per the Regional Reliability Organization’s/Regional Entity’s submission requirements.</w:t>
      </w:r>
    </w:p>
    <w:p w:rsidR="00962426" w:rsidRDefault="00962426">
      <w:pPr>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Detailed notes:</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962426">
        <w:tc>
          <w:tcPr>
            <w:tcW w:w="7848" w:type="dxa"/>
            <w:tcBorders>
              <w:top w:val="single" w:sz="8" w:space="0" w:color="4F81BD"/>
              <w:left w:val="nil"/>
              <w:bottom w:val="single" w:sz="8" w:space="0" w:color="4F81BD"/>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Version</w:t>
            </w:r>
          </w:p>
        </w:tc>
      </w:tr>
      <w:tr w:rsidR="00962426">
        <w:tc>
          <w:tcPr>
            <w:tcW w:w="7848" w:type="dxa"/>
            <w:tcBorders>
              <w:top w:val="nil"/>
              <w:left w:val="nil"/>
              <w:bottom w:val="nil"/>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r w:rsidR="00962426">
        <w:tc>
          <w:tcPr>
            <w:tcW w:w="7848" w:type="dxa"/>
            <w:tcBorders>
              <w:top w:val="nil"/>
              <w:left w:val="nil"/>
              <w:bottom w:val="nil"/>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r w:rsidR="00962426">
        <w:tc>
          <w:tcPr>
            <w:tcW w:w="7848" w:type="dxa"/>
            <w:tcBorders>
              <w:top w:val="nil"/>
              <w:left w:val="nil"/>
              <w:bottom w:val="single" w:sz="8" w:space="0" w:color="4F81BD"/>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tabs>
          <w:tab w:val="left" w:pos="720"/>
          <w:tab w:val="left" w:pos="1440"/>
        </w:tabs>
        <w:spacing w:line="294" w:lineRule="exact"/>
      </w:pPr>
      <w:bookmarkStart w:id="1" w:name="FERC"/>
      <w:bookmarkEnd w:id="1"/>
    </w:p>
    <w:p w:rsidR="00962426" w:rsidRDefault="00962426">
      <w:pPr>
        <w:widowControl w:val="0"/>
        <w:tabs>
          <w:tab w:val="left" w:pos="720"/>
          <w:tab w:val="left" w:pos="1440"/>
        </w:tabs>
        <w:spacing w:line="294" w:lineRule="exact"/>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Pr="00880BFF" w:rsidRDefault="00962426" w:rsidP="006D37F8">
      <w:pPr>
        <w:pStyle w:val="Heading1"/>
        <w:numPr>
          <w:ilvl w:val="0"/>
          <w:numId w:val="0"/>
        </w:numPr>
        <w:rPr>
          <w:rFonts w:ascii="Tahoma" w:hAnsi="Tahoma"/>
          <w:b w:val="0"/>
          <w:bCs w:val="0"/>
          <w:color w:val="264B74"/>
          <w:sz w:val="40"/>
          <w:u w:val="none"/>
          <w14:shadow w14:blurRad="50800" w14:dist="38100" w14:dir="2700000" w14:sx="100000" w14:sy="100000" w14:kx="0" w14:ky="0" w14:algn="tl">
            <w14:srgbClr w14:val="000000">
              <w14:alpha w14:val="60000"/>
            </w14:srgbClr>
          </w14:shadow>
        </w:rPr>
      </w:pPr>
      <w:bookmarkStart w:id="2" w:name="RSAW"/>
      <w:bookmarkEnd w:id="2"/>
      <w:r w:rsidRPr="00880BFF">
        <w:rPr>
          <w:rFonts w:ascii="Tahoma" w:hAnsi="Tahoma"/>
          <w:b w:val="0"/>
          <w:bCs w:val="0"/>
          <w:color w:val="264B74"/>
          <w:sz w:val="40"/>
          <w:u w:val="none"/>
          <w14:shadow w14:blurRad="50800" w14:dist="38100" w14:dir="2700000" w14:sx="100000" w14:sy="100000" w14:kx="0" w14:ky="0" w14:algn="tl">
            <w14:srgbClr w14:val="000000">
              <w14:alpha w14:val="60000"/>
            </w14:srgbClr>
          </w14:shadow>
        </w:rPr>
        <w:t>Supplemental Information</w:t>
      </w:r>
    </w:p>
    <w:p w:rsidR="00AC11ED" w:rsidRPr="00AC11ED" w:rsidRDefault="00AC11ED" w:rsidP="00AC11ED">
      <w:pPr>
        <w:spacing w:line="284" w:lineRule="atLeast"/>
        <w:rPr>
          <w:rFonts w:ascii="Times New Roman" w:hAnsi="Times New Roman" w:cs="Times New Roman"/>
          <w:sz w:val="24"/>
          <w:szCs w:val="24"/>
        </w:rPr>
      </w:pPr>
      <w:r w:rsidRPr="00AC11ED">
        <w:rPr>
          <w:rStyle w:val="Strong"/>
          <w:rFonts w:ascii="Times New Roman" w:hAnsi="Times New Roman" w:cs="Times New Roman"/>
          <w:sz w:val="24"/>
          <w:szCs w:val="24"/>
        </w:rPr>
        <w:t xml:space="preserve">Other </w:t>
      </w:r>
      <w:r w:rsidRPr="00AC11ED">
        <w:rPr>
          <w:rStyle w:val="Strong"/>
          <w:rFonts w:ascii="Times New Roman" w:hAnsi="Times New Roman" w:cs="Times New Roman"/>
          <w:sz w:val="24"/>
          <w:szCs w:val="24"/>
        </w:rPr>
        <w:noBreakHyphen/>
      </w:r>
      <w:r w:rsidRPr="00AC11E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C11ED">
        <w:rPr>
          <w:rStyle w:val="Strong"/>
          <w:rFonts w:ascii="Times New Roman" w:hAnsi="Times New Roman" w:cs="Times New Roman"/>
          <w:b w:val="0"/>
          <w:sz w:val="24"/>
          <w:szCs w:val="24"/>
        </w:rPr>
        <w:t xml:space="preserve">, </w:t>
      </w:r>
      <w:r w:rsidRPr="00AC11ED">
        <w:rPr>
          <w:rStyle w:val="Strong"/>
          <w:rFonts w:ascii="Times New Roman" w:hAnsi="Times New Roman" w:cs="Times New Roman"/>
          <w:sz w:val="24"/>
          <w:szCs w:val="24"/>
          <w:u w:val="single"/>
        </w:rPr>
        <w:t>as necessary</w:t>
      </w:r>
      <w:r w:rsidRPr="00AC11ED">
        <w:rPr>
          <w:rStyle w:val="Strong"/>
          <w:rFonts w:ascii="Times New Roman" w:hAnsi="Times New Roman" w:cs="Times New Roman"/>
          <w:b w:val="0"/>
          <w:sz w:val="24"/>
          <w:szCs w:val="24"/>
        </w:rPr>
        <w:t xml:space="preserve"> that</w:t>
      </w:r>
      <w:r w:rsidRPr="00AC11ED">
        <w:rPr>
          <w:rFonts w:ascii="Times New Roman" w:hAnsi="Times New Roman" w:cs="Times New Roman"/>
          <w:b/>
          <w:sz w:val="24"/>
          <w:szCs w:val="24"/>
        </w:rPr>
        <w:t xml:space="preserve"> </w:t>
      </w:r>
      <w:r w:rsidRPr="00AC11ED">
        <w:rPr>
          <w:rFonts w:ascii="Times New Roman" w:hAnsi="Times New Roman" w:cs="Times New Roman"/>
          <w:sz w:val="24"/>
          <w:szCs w:val="24"/>
        </w:rPr>
        <w:t>demonstrates compliance with this Reliability Standard.</w:t>
      </w:r>
    </w:p>
    <w:p w:rsidR="00962426" w:rsidRDefault="00962426">
      <w:pPr>
        <w:widowControl w:val="0"/>
        <w:tabs>
          <w:tab w:val="left" w:pos="60"/>
        </w:tabs>
        <w:spacing w:line="320" w:lineRule="exact"/>
        <w:rPr>
          <w:rFonts w:ascii="Times New Roman" w:hAnsi="Times New Roman" w:cs="Times New Roman"/>
          <w:sz w:val="24"/>
          <w:szCs w:val="24"/>
        </w:rPr>
      </w:pPr>
    </w:p>
    <w:p w:rsidR="00962426" w:rsidRDefault="00962426">
      <w:pPr>
        <w:widowControl w:val="0"/>
        <w:spacing w:line="294" w:lineRule="exact"/>
        <w:rPr>
          <w:rFonts w:ascii="Times New Roman" w:hAnsi="Times New Roman" w:cs="Times New Roman"/>
          <w:sz w:val="24"/>
          <w:szCs w:val="24"/>
        </w:rPr>
      </w:pPr>
    </w:p>
    <w:p w:rsidR="00962426" w:rsidRDefault="00962426">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962426" w:rsidRDefault="00962426">
      <w:pPr>
        <w:widowControl w:val="0"/>
        <w:spacing w:line="186" w:lineRule="exact"/>
        <w:rPr>
          <w:rFonts w:ascii="Times New Roman" w:hAnsi="Times New Roman" w:cs="Times New Roman"/>
          <w:sz w:val="24"/>
          <w:szCs w:val="24"/>
        </w:rPr>
      </w:pP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962426" w:rsidRDefault="00962426">
      <w:pPr>
        <w:widowControl w:val="0"/>
        <w:shd w:val="clear" w:color="auto" w:fill="D3DCE9"/>
        <w:tabs>
          <w:tab w:val="left" w:pos="720"/>
        </w:tabs>
        <w:spacing w:line="294" w:lineRule="exact"/>
        <w:rPr>
          <w:rFonts w:ascii="Times New Roman" w:hAnsi="Times New Roman" w:cs="Times New Roman"/>
          <w:bCs/>
          <w:color w:val="264D74"/>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spacing w:line="40" w:lineRule="exact"/>
        <w:rPr>
          <w:rFonts w:ascii="Times New Roman" w:hAnsi="Times New Roman" w:cs="Times New Roman"/>
          <w:sz w:val="24"/>
          <w:szCs w:val="24"/>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Default="00962426">
      <w:pPr>
        <w:widowControl w:val="0"/>
        <w:tabs>
          <w:tab w:val="left" w:pos="900"/>
          <w:tab w:val="left" w:pos="6360"/>
        </w:tabs>
        <w:spacing w:line="294" w:lineRule="exact"/>
        <w:rPr>
          <w:rFonts w:ascii="Tahoma" w:hAnsi="Tahoma" w:cs="Tahoma"/>
          <w:bCs/>
          <w:color w:val="264D74"/>
          <w:sz w:val="40"/>
          <w:szCs w:val="40"/>
        </w:rPr>
      </w:pPr>
    </w:p>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880BFF" w:rsidRDefault="00962426" w:rsidP="006D37F8">
      <w:pPr>
        <w:pStyle w:val="Heading1"/>
        <w:numPr>
          <w:ilvl w:val="0"/>
          <w:numId w:val="0"/>
        </w:numPr>
        <w:rPr>
          <w:rFonts w:ascii="Tahoma" w:hAnsi="Tahoma"/>
          <w:b w:val="0"/>
          <w:bCs w:val="0"/>
          <w:color w:val="264B74"/>
          <w:sz w:val="40"/>
          <w:u w:val="none"/>
          <w14:shadow w14:blurRad="50800" w14:dist="38100" w14:dir="2700000" w14:sx="100000" w14:sy="100000" w14:kx="0" w14:ky="0" w14:algn="tl">
            <w14:srgbClr w14:val="000000">
              <w14:alpha w14:val="60000"/>
            </w14:srgbClr>
          </w14:shadow>
        </w:rPr>
      </w:pPr>
      <w:r w:rsidRPr="00880BFF">
        <w:rPr>
          <w:rFonts w:ascii="Tahoma" w:hAnsi="Tahoma"/>
          <w:b w:val="0"/>
          <w:bCs w:val="0"/>
          <w:color w:val="264B74"/>
          <w:sz w:val="40"/>
          <w:u w:val="none"/>
          <w14:shadow w14:blurRad="50800" w14:dist="38100" w14:dir="2700000" w14:sx="100000" w14:sy="100000" w14:kx="0" w14:ky="0" w14:algn="tl">
            <w14:srgbClr w14:val="000000">
              <w14:alpha w14:val="60000"/>
            </w14:srgbClr>
          </w14:shadow>
        </w:rPr>
        <w:t>Compliance Findings Summary</w:t>
      </w:r>
      <w:r w:rsidRPr="00880BFF">
        <w:rPr>
          <w:rFonts w:ascii="Tahoma" w:hAnsi="Tahoma"/>
          <w:b w:val="0"/>
          <w:bCs w:val="0"/>
          <w:color w:val="264B74"/>
          <w:sz w:val="20"/>
          <w:szCs w:val="20"/>
          <w:u w:val="none"/>
          <w14:shadow w14:blurRad="50800" w14:dist="38100" w14:dir="2700000" w14:sx="100000" w14:sy="100000" w14:kx="0" w14:ky="0" w14:algn="tl">
            <w14:srgbClr w14:val="000000">
              <w14:alpha w14:val="60000"/>
            </w14:srgbClr>
          </w14:shadow>
        </w:rPr>
        <w:t xml:space="preserve"> (to be filled out by auditor)</w:t>
      </w:r>
    </w:p>
    <w:tbl>
      <w:tblPr>
        <w:tblW w:w="0" w:type="auto"/>
        <w:tblLook w:val="00A0" w:firstRow="1" w:lastRow="0" w:firstColumn="1" w:lastColumn="0" w:noHBand="0" w:noVBand="0"/>
      </w:tblPr>
      <w:tblGrid>
        <w:gridCol w:w="693"/>
        <w:gridCol w:w="541"/>
        <w:gridCol w:w="617"/>
        <w:gridCol w:w="597"/>
        <w:gridCol w:w="8568"/>
      </w:tblGrid>
      <w:tr w:rsidR="00962426">
        <w:tc>
          <w:tcPr>
            <w:tcW w:w="693" w:type="dxa"/>
            <w:tcBorders>
              <w:top w:val="single" w:sz="4" w:space="0" w:color="548DD4"/>
              <w:bottom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bottom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bottom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bottom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bottom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962426">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r w:rsidR="00962426">
        <w:tc>
          <w:tcPr>
            <w:tcW w:w="693" w:type="dxa"/>
            <w:tcBorders>
              <w:top w:val="single" w:sz="4" w:space="0" w:color="548DD4"/>
              <w:left w:val="single" w:sz="4" w:space="0" w:color="548DD4"/>
              <w:bottom w:val="single" w:sz="4" w:space="0" w:color="548DD4"/>
              <w:right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962426" w:rsidRDefault="00962426">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962426" w:rsidRDefault="00962426">
      <w:pPr>
        <w:widowControl w:val="0"/>
        <w:tabs>
          <w:tab w:val="left" w:pos="900"/>
          <w:tab w:val="left" w:pos="6360"/>
        </w:tabs>
        <w:spacing w:line="294" w:lineRule="exact"/>
        <w:rPr>
          <w:rFonts w:ascii="Times New Roman" w:hAnsi="Times New Roman" w:cs="Times New Roman"/>
          <w:b/>
          <w:bCs/>
          <w:color w:val="264D74"/>
          <w:sz w:val="24"/>
          <w:szCs w:val="24"/>
        </w:rPr>
      </w:pPr>
    </w:p>
    <w:p w:rsidR="00962426" w:rsidRPr="006D37F8" w:rsidRDefault="00962426" w:rsidP="006D37F8">
      <w:pPr>
        <w:widowControl w:val="0"/>
        <w:spacing w:line="281" w:lineRule="exact"/>
        <w:jc w:val="right"/>
        <w:rPr>
          <w:rFonts w:ascii="Times New Roman" w:hAnsi="Times New Roman" w:cs="Times New Roman"/>
          <w:b/>
          <w:sz w:val="24"/>
          <w:szCs w:val="24"/>
        </w:rPr>
      </w:pPr>
      <w:r>
        <w:rPr>
          <w:bCs/>
          <w:color w:val="264D74"/>
        </w:rPr>
        <w:br w:type="page"/>
      </w:r>
      <w:r w:rsidRPr="006D37F8">
        <w:rPr>
          <w:rFonts w:ascii="Times New Roman" w:hAnsi="Times New Roman" w:cs="Times New Roman"/>
          <w:b/>
          <w:sz w:val="24"/>
          <w:szCs w:val="24"/>
        </w:rPr>
        <w:t>Excerpts From FERC Orders—For Reference Purposes Only</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Updated as of March 31, 2009</w:t>
      </w:r>
    </w:p>
    <w:p w:rsidR="00962426" w:rsidRDefault="00962426">
      <w:pPr>
        <w:pStyle w:val="Header"/>
        <w:jc w:val="right"/>
        <w:rPr>
          <w:rFonts w:ascii="Times New Roman" w:hAnsi="Times New Roman" w:cs="Times New Roman"/>
          <w:b/>
          <w:sz w:val="24"/>
          <w:szCs w:val="24"/>
        </w:rPr>
      </w:pPr>
      <w:r>
        <w:rPr>
          <w:rFonts w:ascii="Times New Roman" w:hAnsi="Times New Roman" w:cs="Times New Roman"/>
          <w:b/>
          <w:sz w:val="24"/>
          <w:szCs w:val="24"/>
        </w:rPr>
        <w:t>TPL- 004-0</w:t>
      </w:r>
    </w:p>
    <w:p w:rsidR="00962426" w:rsidRDefault="00962426">
      <w:pPr>
        <w:widowControl w:val="0"/>
        <w:tabs>
          <w:tab w:val="left" w:pos="60"/>
        </w:tabs>
        <w:spacing w:line="200" w:lineRule="exact"/>
        <w:rPr>
          <w:rFonts w:ascii="Times New Roman" w:hAnsi="Times New Roman" w:cs="Times New Roman"/>
          <w:sz w:val="24"/>
          <w:szCs w:val="24"/>
        </w:rPr>
      </w:pPr>
    </w:p>
    <w:p w:rsidR="00962426" w:rsidRDefault="00962426">
      <w:pPr>
        <w:widowControl w:val="0"/>
        <w:tabs>
          <w:tab w:val="left" w:pos="60"/>
        </w:tabs>
        <w:spacing w:line="200" w:lineRule="exact"/>
        <w:rPr>
          <w:rFonts w:ascii="Times New Roman" w:hAnsi="Times New Roman" w:cs="Times New Roman"/>
          <w:b/>
          <w:sz w:val="24"/>
          <w:szCs w:val="24"/>
        </w:rPr>
      </w:pPr>
      <w:r>
        <w:rPr>
          <w:rFonts w:ascii="Times New Roman" w:hAnsi="Times New Roman" w:cs="Times New Roman"/>
          <w:b/>
          <w:sz w:val="24"/>
          <w:szCs w:val="24"/>
        </w:rPr>
        <w:t>Order 693</w:t>
      </w:r>
    </w:p>
    <w:p w:rsidR="00962426" w:rsidRDefault="00962426">
      <w:pPr>
        <w:widowControl w:val="0"/>
        <w:tabs>
          <w:tab w:val="left" w:pos="60"/>
        </w:tabs>
        <w:spacing w:line="200" w:lineRule="exact"/>
        <w:rPr>
          <w:rFonts w:ascii="Times New Roman" w:hAnsi="Times New Roman" w:cs="Times New Roman"/>
          <w:b/>
          <w:sz w:val="24"/>
          <w:szCs w:val="24"/>
        </w:rPr>
      </w:pPr>
    </w:p>
    <w:p w:rsidR="00962426" w:rsidRDefault="00962426">
      <w:pPr>
        <w:pStyle w:val="FERCparanumber"/>
        <w:numPr>
          <w:ilvl w:val="0"/>
          <w:numId w:val="0"/>
        </w:numPr>
        <w:rPr>
          <w:sz w:val="24"/>
          <w:szCs w:val="24"/>
        </w:rPr>
      </w:pPr>
      <w:r>
        <w:rPr>
          <w:sz w:val="24"/>
          <w:szCs w:val="24"/>
        </w:rPr>
        <w:t>P 1826.  The goal of Reliability Standard TPL-004-0 is to ensure that the future Bulk-Power System is evaluated to assess the risks and consequences of an extreme event involving the loss of multiple elements.  It seeks to do this by requiring the transmission planner and the planning authority to evaluate and document annually the risks and consequences of Category D contingencies (</w:t>
      </w:r>
      <w:r>
        <w:rPr>
          <w:sz w:val="24"/>
          <w:szCs w:val="24"/>
          <w:u w:val="single"/>
        </w:rPr>
        <w:t>i.e.</w:t>
      </w:r>
      <w:r>
        <w:rPr>
          <w:sz w:val="24"/>
          <w:szCs w:val="24"/>
        </w:rPr>
        <w:t>, extreme events resulting in loss of two or more elements or cascading) for the near-term (five-year) planning horizon.</w:t>
      </w:r>
    </w:p>
    <w:p w:rsidR="00962426" w:rsidRDefault="00962426">
      <w:pPr>
        <w:pStyle w:val="FERCparanumber"/>
        <w:numPr>
          <w:ilvl w:val="0"/>
          <w:numId w:val="0"/>
        </w:numPr>
        <w:rPr>
          <w:sz w:val="24"/>
          <w:szCs w:val="24"/>
        </w:rPr>
      </w:pPr>
      <w:r>
        <w:rPr>
          <w:sz w:val="24"/>
          <w:szCs w:val="24"/>
        </w:rPr>
        <w:t xml:space="preserve">P 1827.  TPL-004-0 applies to each planning authority and transmission planner.  Each must demonstrate annually through valid assessments that its portion of the interconnected transmission system is evaluated for the risks and consequences of a number of each of the extreme contingencies of Category D with all transmission facilities in service over a planning horizon that takes into account lead times for corrective plans.  TPL-004-0 also requires that planned outages of transmission equipment be considered for those demand levels for which planned outages are performed.  It defines various categories of conditions to be simulated.  The associated regional reliability organization must approve the specific study elements selected from each of the categories for assessment, including the subset of Category D contingencies to be evaluated.  </w:t>
      </w:r>
    </w:p>
    <w:p w:rsidR="00962426" w:rsidRDefault="00962426">
      <w:pPr>
        <w:pStyle w:val="FERCparanumber"/>
        <w:numPr>
          <w:ilvl w:val="0"/>
          <w:numId w:val="0"/>
        </w:numPr>
        <w:rPr>
          <w:sz w:val="24"/>
          <w:szCs w:val="24"/>
        </w:rPr>
      </w:pPr>
      <w:r>
        <w:rPr>
          <w:sz w:val="24"/>
          <w:szCs w:val="24"/>
        </w:rPr>
        <w:t xml:space="preserve">P 1831.  The Commission approves proposed Reliability Standard TPL-004-0 as mandatory and enforceable.… </w:t>
      </w:r>
    </w:p>
    <w:p w:rsidR="00962426" w:rsidRDefault="00962426">
      <w:pPr>
        <w:pStyle w:val="FERCparanumber"/>
        <w:numPr>
          <w:ilvl w:val="0"/>
          <w:numId w:val="0"/>
        </w:numPr>
        <w:rPr>
          <w:sz w:val="24"/>
          <w:szCs w:val="24"/>
        </w:rPr>
      </w:pPr>
      <w:r>
        <w:rPr>
          <w:sz w:val="24"/>
          <w:szCs w:val="24"/>
        </w:rPr>
        <w:t>P 1832.  The Commission notes that, like Requirement R1.3.1 of TPL-001-0, Requirement R1.3.2 of TPL-004-0 requires an entity assessing system performance to cover “critical system conditions and study years” as deemed appropriate by the entity performing the study.…</w:t>
      </w:r>
    </w:p>
    <w:p w:rsidR="00962426" w:rsidRDefault="00962426">
      <w:pPr>
        <w:pStyle w:val="FERCparanumber"/>
        <w:numPr>
          <w:ilvl w:val="0"/>
          <w:numId w:val="0"/>
        </w:numPr>
        <w:rPr>
          <w:sz w:val="24"/>
          <w:szCs w:val="24"/>
        </w:rPr>
      </w:pPr>
      <w:r>
        <w:rPr>
          <w:sz w:val="24"/>
          <w:szCs w:val="24"/>
        </w:rPr>
        <w:t xml:space="preserve">P 1834.  All commenters that responded on the issue opposed the Commission’s proposal to modify TPL-004-0 to require that, in determining the range of the extreme events to be assessed, the contingency list of Category D be expanded to include recent events such as hurricanes and ice storms.  The Commission is not persuaded by the commenters’ contention that expansion of the extreme events list will lead to an endless list of possibilities.  The two that the Commission used are examples from the general news media.  While the NOPR referred to two recent events, other examples include:  (1) loss of a large gas pipeline into a region or multiple regions that have significant gas-fired generation; (2) a successful cyber attack; (3) regulation that restricts or eliminates the use of a river or lake or other body of water as the cooling source for generation; (4) shutdown of a nuclear power plant and other facilities a day or more prior to a hurricane, tornado or wildfire, or other event and (5) the loss of older transmission lines, which may not be constructed to meet an entity’s present radial ice loading requirements, while the newer or stronger transmission lines remain in service.  The above examples are not an exhaustive list, however, the Commission would not expect the range of scenarios to be much more extensive than this, either…. </w:t>
      </w:r>
    </w:p>
    <w:p w:rsidR="00962426" w:rsidRDefault="00962426">
      <w:pPr>
        <w:pStyle w:val="FERCparanumber"/>
        <w:numPr>
          <w:ilvl w:val="0"/>
          <w:numId w:val="0"/>
        </w:numPr>
      </w:pPr>
      <w:r>
        <w:t xml:space="preserve">P 1836.  Accordingly, the Commission approves Reliability Standard TPL-004-0 as mandatory and enforceable…. </w:t>
      </w:r>
    </w:p>
    <w:p w:rsidR="00653DA0" w:rsidRDefault="00653DA0">
      <w:pPr>
        <w:pStyle w:val="FERCparanumber"/>
        <w:numPr>
          <w:ilvl w:val="0"/>
          <w:numId w:val="0"/>
        </w:numPr>
      </w:pPr>
    </w:p>
    <w:p w:rsidR="00653DA0" w:rsidRDefault="00653DA0">
      <w:pPr>
        <w:pStyle w:val="FERCparanumber"/>
        <w:numPr>
          <w:ilvl w:val="0"/>
          <w:numId w:val="0"/>
        </w:numPr>
      </w:pPr>
    </w:p>
    <w:p w:rsidR="00653DA0" w:rsidRDefault="00653DA0">
      <w:pPr>
        <w:pStyle w:val="FERCparanumber"/>
        <w:numPr>
          <w:ilvl w:val="0"/>
          <w:numId w:val="0"/>
        </w:numPr>
      </w:pPr>
    </w:p>
    <w:p w:rsidR="00653DA0" w:rsidRDefault="00653DA0">
      <w:pPr>
        <w:pStyle w:val="FERCparanumber"/>
        <w:numPr>
          <w:ilvl w:val="0"/>
          <w:numId w:val="0"/>
        </w:numPr>
      </w:pPr>
    </w:p>
    <w:p w:rsidR="00653DA0" w:rsidRDefault="00653DA0">
      <w:pPr>
        <w:pStyle w:val="FERCparanumber"/>
        <w:numPr>
          <w:ilvl w:val="0"/>
          <w:numId w:val="0"/>
        </w:numPr>
      </w:pPr>
    </w:p>
    <w:p w:rsidR="00653DA0" w:rsidRDefault="00653DA0">
      <w:pPr>
        <w:pStyle w:val="FERCparanumber"/>
        <w:numPr>
          <w:ilvl w:val="0"/>
          <w:numId w:val="0"/>
        </w:numPr>
      </w:pPr>
    </w:p>
    <w:p w:rsidR="00444965" w:rsidRDefault="00444965">
      <w:pPr>
        <w:pStyle w:val="FERCparanumber"/>
        <w:numPr>
          <w:ilvl w:val="0"/>
          <w:numId w:val="0"/>
        </w:numPr>
      </w:pPr>
    </w:p>
    <w:p w:rsidR="00444965" w:rsidRDefault="00444965">
      <w:pPr>
        <w:pStyle w:val="FERCparanumber"/>
        <w:numPr>
          <w:ilvl w:val="0"/>
          <w:numId w:val="0"/>
        </w:numPr>
      </w:pPr>
    </w:p>
    <w:p w:rsidR="00444965" w:rsidRDefault="00444965">
      <w:pPr>
        <w:pStyle w:val="FERCparanumber"/>
        <w:numPr>
          <w:ilvl w:val="0"/>
          <w:numId w:val="0"/>
        </w:numPr>
      </w:pPr>
    </w:p>
    <w:p w:rsidR="00444965" w:rsidRDefault="00444965">
      <w:pPr>
        <w:pStyle w:val="FERCparanumber"/>
        <w:numPr>
          <w:ilvl w:val="0"/>
          <w:numId w:val="0"/>
        </w:numPr>
      </w:pPr>
    </w:p>
    <w:p w:rsidR="00444965" w:rsidRDefault="00444965">
      <w:pPr>
        <w:pStyle w:val="FERCparanumber"/>
        <w:numPr>
          <w:ilvl w:val="0"/>
          <w:numId w:val="0"/>
        </w:numPr>
      </w:pPr>
    </w:p>
    <w:p w:rsidR="00444965" w:rsidRDefault="00444965">
      <w:pPr>
        <w:pStyle w:val="FERCparanumber"/>
        <w:numPr>
          <w:ilvl w:val="0"/>
          <w:numId w:val="0"/>
        </w:numPr>
      </w:pPr>
    </w:p>
    <w:p w:rsidR="00444965" w:rsidRDefault="00444965">
      <w:pPr>
        <w:pStyle w:val="FERCparanumber"/>
        <w:numPr>
          <w:ilvl w:val="0"/>
          <w:numId w:val="0"/>
        </w:numPr>
      </w:pPr>
    </w:p>
    <w:p w:rsidR="00653DA0" w:rsidRPr="0009057C" w:rsidRDefault="00653DA0" w:rsidP="00653DA0">
      <w:pPr>
        <w:rPr>
          <w:rFonts w:ascii="Times New Roman" w:hAnsi="Times New Roman" w:cs="Times New Roman"/>
          <w:b/>
          <w:sz w:val="24"/>
          <w:szCs w:val="24"/>
        </w:rPr>
      </w:pPr>
      <w:r>
        <w:rPr>
          <w:rFonts w:ascii="Times New Roman" w:hAnsi="Times New Roman" w:cs="Times New Roman"/>
          <w:b/>
          <w:sz w:val="24"/>
          <w:szCs w:val="24"/>
        </w:rPr>
        <w:t>Revision History</w:t>
      </w:r>
    </w:p>
    <w:p w:rsidR="00653DA0" w:rsidRDefault="00653DA0" w:rsidP="00653DA0">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653DA0" w:rsidRPr="00B2607F" w:rsidTr="00653DA0">
        <w:tc>
          <w:tcPr>
            <w:tcW w:w="1016"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653DA0" w:rsidRPr="00B2607F" w:rsidRDefault="00653DA0" w:rsidP="00653DA0">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653DA0" w:rsidRPr="00B2607F" w:rsidTr="00653DA0">
        <w:tc>
          <w:tcPr>
            <w:tcW w:w="1016" w:type="dxa"/>
          </w:tcPr>
          <w:p w:rsidR="00653DA0" w:rsidRPr="00B2607F" w:rsidRDefault="00653DA0" w:rsidP="00653DA0">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653DA0" w:rsidRPr="00B2607F" w:rsidRDefault="00653DA0" w:rsidP="00653DA0">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653DA0" w:rsidRPr="00B2607F" w:rsidRDefault="00653DA0" w:rsidP="00653DA0">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653DA0" w:rsidRPr="00B2607F" w:rsidRDefault="00653DA0" w:rsidP="00444965">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w:t>
            </w:r>
            <w:r w:rsidR="00444965">
              <w:rPr>
                <w:rFonts w:ascii="Times New Roman" w:hAnsi="Times New Roman" w:cs="Times New Roman"/>
                <w:sz w:val="24"/>
                <w:szCs w:val="24"/>
              </w:rPr>
              <w:t>2</w:t>
            </w:r>
            <w:r>
              <w:rPr>
                <w:rFonts w:ascii="Times New Roman" w:hAnsi="Times New Roman" w:cs="Times New Roman"/>
                <w:sz w:val="24"/>
                <w:szCs w:val="24"/>
              </w:rPr>
              <w:t>.</w:t>
            </w:r>
          </w:p>
        </w:tc>
      </w:tr>
      <w:tr w:rsidR="00653DA0" w:rsidRPr="00B2607F" w:rsidTr="00653DA0">
        <w:tc>
          <w:tcPr>
            <w:tcW w:w="1016" w:type="dxa"/>
          </w:tcPr>
          <w:p w:rsidR="00653DA0" w:rsidRPr="00B2607F" w:rsidRDefault="00653DA0" w:rsidP="00653DA0">
            <w:pPr>
              <w:jc w:val="center"/>
              <w:rPr>
                <w:rFonts w:ascii="Times New Roman" w:hAnsi="Times New Roman" w:cs="Times New Roman"/>
                <w:sz w:val="24"/>
                <w:szCs w:val="24"/>
              </w:rPr>
            </w:pPr>
          </w:p>
        </w:tc>
        <w:tc>
          <w:tcPr>
            <w:tcW w:w="1522" w:type="dxa"/>
          </w:tcPr>
          <w:p w:rsidR="00653DA0" w:rsidRPr="00B2607F" w:rsidRDefault="00653DA0" w:rsidP="00653DA0">
            <w:pPr>
              <w:rPr>
                <w:rFonts w:ascii="Times New Roman" w:hAnsi="Times New Roman" w:cs="Times New Roman"/>
                <w:sz w:val="24"/>
                <w:szCs w:val="24"/>
              </w:rPr>
            </w:pPr>
          </w:p>
        </w:tc>
        <w:tc>
          <w:tcPr>
            <w:tcW w:w="225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653DA0">
        <w:tc>
          <w:tcPr>
            <w:tcW w:w="1016" w:type="dxa"/>
          </w:tcPr>
          <w:p w:rsidR="00653DA0" w:rsidRPr="00B2607F" w:rsidRDefault="00653DA0" w:rsidP="00653DA0">
            <w:pPr>
              <w:jc w:val="center"/>
              <w:rPr>
                <w:rFonts w:ascii="Times New Roman" w:hAnsi="Times New Roman" w:cs="Times New Roman"/>
                <w:sz w:val="24"/>
                <w:szCs w:val="24"/>
              </w:rPr>
            </w:pPr>
          </w:p>
        </w:tc>
        <w:tc>
          <w:tcPr>
            <w:tcW w:w="1522" w:type="dxa"/>
          </w:tcPr>
          <w:p w:rsidR="00653DA0" w:rsidRPr="00B2607F" w:rsidRDefault="00653DA0" w:rsidP="00653DA0">
            <w:pPr>
              <w:rPr>
                <w:rFonts w:ascii="Times New Roman" w:hAnsi="Times New Roman" w:cs="Times New Roman"/>
                <w:sz w:val="24"/>
                <w:szCs w:val="24"/>
              </w:rPr>
            </w:pPr>
          </w:p>
        </w:tc>
        <w:tc>
          <w:tcPr>
            <w:tcW w:w="225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653DA0">
        <w:tc>
          <w:tcPr>
            <w:tcW w:w="1016" w:type="dxa"/>
          </w:tcPr>
          <w:p w:rsidR="00653DA0" w:rsidRPr="00B2607F" w:rsidRDefault="00653DA0" w:rsidP="00653DA0">
            <w:pPr>
              <w:jc w:val="center"/>
              <w:rPr>
                <w:rFonts w:ascii="Times New Roman" w:hAnsi="Times New Roman" w:cs="Times New Roman"/>
                <w:sz w:val="24"/>
                <w:szCs w:val="24"/>
              </w:rPr>
            </w:pPr>
          </w:p>
        </w:tc>
        <w:tc>
          <w:tcPr>
            <w:tcW w:w="1522" w:type="dxa"/>
          </w:tcPr>
          <w:p w:rsidR="00653DA0" w:rsidRPr="00B2607F" w:rsidRDefault="00653DA0" w:rsidP="00653DA0">
            <w:pPr>
              <w:rPr>
                <w:rFonts w:ascii="Times New Roman" w:hAnsi="Times New Roman" w:cs="Times New Roman"/>
                <w:sz w:val="24"/>
                <w:szCs w:val="24"/>
              </w:rPr>
            </w:pPr>
          </w:p>
        </w:tc>
        <w:tc>
          <w:tcPr>
            <w:tcW w:w="225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653DA0">
        <w:tc>
          <w:tcPr>
            <w:tcW w:w="1016" w:type="dxa"/>
          </w:tcPr>
          <w:p w:rsidR="00653DA0" w:rsidRPr="00B2607F" w:rsidRDefault="00653DA0" w:rsidP="00653DA0">
            <w:pPr>
              <w:jc w:val="center"/>
              <w:rPr>
                <w:rFonts w:ascii="Times New Roman" w:hAnsi="Times New Roman" w:cs="Times New Roman"/>
                <w:sz w:val="24"/>
                <w:szCs w:val="24"/>
              </w:rPr>
            </w:pPr>
          </w:p>
        </w:tc>
        <w:tc>
          <w:tcPr>
            <w:tcW w:w="1522" w:type="dxa"/>
          </w:tcPr>
          <w:p w:rsidR="00653DA0" w:rsidRPr="00B2607F" w:rsidRDefault="00653DA0" w:rsidP="00653DA0">
            <w:pPr>
              <w:rPr>
                <w:rFonts w:ascii="Times New Roman" w:hAnsi="Times New Roman" w:cs="Times New Roman"/>
                <w:sz w:val="24"/>
                <w:szCs w:val="24"/>
              </w:rPr>
            </w:pPr>
          </w:p>
        </w:tc>
        <w:tc>
          <w:tcPr>
            <w:tcW w:w="225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r w:rsidR="00653DA0" w:rsidRPr="00B2607F" w:rsidTr="00653DA0">
        <w:tc>
          <w:tcPr>
            <w:tcW w:w="1016" w:type="dxa"/>
          </w:tcPr>
          <w:p w:rsidR="00653DA0" w:rsidRPr="00B2607F" w:rsidRDefault="00653DA0" w:rsidP="00653DA0">
            <w:pPr>
              <w:jc w:val="center"/>
              <w:rPr>
                <w:rFonts w:ascii="Times New Roman" w:hAnsi="Times New Roman" w:cs="Times New Roman"/>
                <w:sz w:val="24"/>
                <w:szCs w:val="24"/>
              </w:rPr>
            </w:pPr>
          </w:p>
        </w:tc>
        <w:tc>
          <w:tcPr>
            <w:tcW w:w="1522" w:type="dxa"/>
          </w:tcPr>
          <w:p w:rsidR="00653DA0" w:rsidRPr="00B2607F" w:rsidRDefault="00653DA0" w:rsidP="00653DA0">
            <w:pPr>
              <w:rPr>
                <w:rFonts w:ascii="Times New Roman" w:hAnsi="Times New Roman" w:cs="Times New Roman"/>
                <w:sz w:val="24"/>
                <w:szCs w:val="24"/>
              </w:rPr>
            </w:pPr>
          </w:p>
        </w:tc>
        <w:tc>
          <w:tcPr>
            <w:tcW w:w="2250" w:type="dxa"/>
          </w:tcPr>
          <w:p w:rsidR="00653DA0" w:rsidRPr="00B2607F" w:rsidRDefault="00653DA0" w:rsidP="00653DA0">
            <w:pPr>
              <w:rPr>
                <w:rFonts w:ascii="Times New Roman" w:hAnsi="Times New Roman" w:cs="Times New Roman"/>
                <w:sz w:val="24"/>
                <w:szCs w:val="24"/>
              </w:rPr>
            </w:pPr>
          </w:p>
        </w:tc>
        <w:tc>
          <w:tcPr>
            <w:tcW w:w="6228" w:type="dxa"/>
          </w:tcPr>
          <w:p w:rsidR="00653DA0" w:rsidRPr="00B2607F" w:rsidRDefault="00653DA0" w:rsidP="00653DA0">
            <w:pPr>
              <w:rPr>
                <w:rFonts w:ascii="Times New Roman" w:hAnsi="Times New Roman" w:cs="Times New Roman"/>
                <w:sz w:val="24"/>
                <w:szCs w:val="24"/>
              </w:rPr>
            </w:pPr>
          </w:p>
        </w:tc>
      </w:tr>
    </w:tbl>
    <w:p w:rsidR="00653DA0" w:rsidRDefault="00653DA0">
      <w:pPr>
        <w:pStyle w:val="FERCparanumber"/>
        <w:numPr>
          <w:ilvl w:val="0"/>
          <w:numId w:val="0"/>
        </w:numPr>
      </w:pPr>
    </w:p>
    <w:p w:rsidR="00653DA0" w:rsidRDefault="00653DA0">
      <w:pPr>
        <w:pStyle w:val="FERCparanumber"/>
        <w:numPr>
          <w:ilvl w:val="0"/>
          <w:numId w:val="0"/>
        </w:numPr>
      </w:pPr>
    </w:p>
    <w:sectPr w:rsidR="00653DA0">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2EEF" w:rsidRDefault="00732EEF">
      <w:r>
        <w:separator/>
      </w:r>
    </w:p>
  </w:endnote>
  <w:endnote w:type="continuationSeparator" w:id="0">
    <w:p w:rsidR="00732EEF" w:rsidRDefault="00732E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DE" w:rsidRDefault="00AC68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31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NERC Compliance Questionnaire and Reliability Standard Audit Worksheet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Compliance Enforcement Authority: _____________</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Registered Entity:___________________</w:t>
    </w:r>
    <w:r>
      <w:rPr>
        <w:rFonts w:ascii="Times New Roman" w:hAnsi="Times New Roman" w:cs="Times New Roman"/>
        <w:color w:val="000000"/>
        <w:sz w:val="18"/>
        <w:szCs w:val="18"/>
      </w:rPr>
      <w:tab/>
    </w:r>
    <w:r>
      <w:rPr>
        <w:rFonts w:ascii="Times New Roman" w:hAnsi="Times New Roman" w:cs="Times New Roman"/>
        <w:color w:val="000000"/>
        <w:sz w:val="18"/>
        <w:szCs w:val="18"/>
      </w:rPr>
      <w:tab/>
      <w:t xml:space="preserve">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NCR Number:______________________ </w:t>
    </w:r>
  </w:p>
  <w:p w:rsidR="00653DA0" w:rsidRDefault="00653DA0">
    <w:pPr>
      <w:widowControl w:val="0"/>
      <w:spacing w:line="220" w:lineRule="exact"/>
      <w:rPr>
        <w:rFonts w:ascii="Times New Roman" w:hAnsi="Times New Roman" w:cs="Times New Roman"/>
        <w:color w:val="000000"/>
        <w:sz w:val="18"/>
        <w:szCs w:val="18"/>
      </w:rPr>
    </w:pPr>
    <w:r>
      <w:rPr>
        <w:rFonts w:ascii="Times New Roman" w:hAnsi="Times New Roman" w:cs="Times New Roman"/>
        <w:color w:val="000000"/>
        <w:sz w:val="18"/>
        <w:szCs w:val="18"/>
      </w:rPr>
      <w:t xml:space="preserve">Compliance Assessment Date:_____________ </w:t>
    </w:r>
  </w:p>
  <w:p w:rsidR="00653DA0" w:rsidRDefault="00653DA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RSAW_TPL-004-0_2010_v1</w:t>
    </w:r>
  </w:p>
  <w:p w:rsidR="00653DA0" w:rsidRDefault="00653DA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Revision Date: May 2010</w:t>
    </w:r>
  </w:p>
  <w:p w:rsidR="00653DA0" w:rsidRDefault="00653DA0">
    <w:pPr>
      <w:widowControl w:val="0"/>
      <w:spacing w:line="244" w:lineRule="exact"/>
      <w:jc w:val="center"/>
      <w:rPr>
        <w:rFonts w:ascii="Times New Roman" w:hAnsi="Times New Roman" w:cs="Times New Roman"/>
        <w:sz w:val="18"/>
        <w:szCs w:val="18"/>
      </w:rPr>
    </w:pPr>
    <w:r>
      <w:rPr>
        <w:rStyle w:val="PageNumber"/>
        <w:rFonts w:ascii="Times New Roman" w:hAnsi="Times New Roman" w:cs="Times New Roman"/>
        <w:sz w:val="18"/>
        <w:szCs w:val="18"/>
      </w:rPr>
      <w:fldChar w:fldCharType="begin"/>
    </w:r>
    <w:r>
      <w:rPr>
        <w:rStyle w:val="PageNumber"/>
        <w:rFonts w:ascii="Times New Roman" w:hAnsi="Times New Roman" w:cs="Times New Roman"/>
        <w:sz w:val="18"/>
        <w:szCs w:val="18"/>
      </w:rPr>
      <w:instrText xml:space="preserve"> PAGE </w:instrText>
    </w:r>
    <w:r>
      <w:rPr>
        <w:rStyle w:val="PageNumber"/>
        <w:rFonts w:ascii="Times New Roman" w:hAnsi="Times New Roman" w:cs="Times New Roman"/>
        <w:sz w:val="18"/>
        <w:szCs w:val="18"/>
      </w:rPr>
      <w:fldChar w:fldCharType="separate"/>
    </w:r>
    <w:r w:rsidR="00300EFD">
      <w:rPr>
        <w:rStyle w:val="PageNumber"/>
        <w:rFonts w:ascii="Times New Roman" w:hAnsi="Times New Roman" w:cs="Times New Roman"/>
        <w:noProof/>
        <w:sz w:val="18"/>
        <w:szCs w:val="18"/>
      </w:rPr>
      <w:t>1</w:t>
    </w:r>
    <w:r>
      <w:rPr>
        <w:rStyle w:val="PageNumber"/>
        <w:rFonts w:ascii="Times New Roman" w:hAnsi="Times New Roman"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DE" w:rsidRDefault="00AC68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2EEF" w:rsidRDefault="00732EEF">
      <w:r>
        <w:separator/>
      </w:r>
    </w:p>
  </w:footnote>
  <w:footnote w:type="continuationSeparator" w:id="0">
    <w:p w:rsidR="00732EEF" w:rsidRDefault="00732E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DE" w:rsidRDefault="00AC68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DA0" w:rsidRDefault="00653DA0">
    <w:pPr>
      <w:widowControl w:val="0"/>
      <w:spacing w:line="240" w:lineRule="exact"/>
      <w:rPr>
        <w:rFonts w:cs="Times New Roman"/>
      </w:rPr>
    </w:pPr>
  </w:p>
  <w:p w:rsidR="00653DA0" w:rsidRDefault="00653DA0">
    <w:pPr>
      <w:widowControl w:val="0"/>
      <w:spacing w:line="294" w:lineRule="exact"/>
      <w:rPr>
        <w:rFonts w:ascii="Times New Roman" w:hAnsi="Times New Roman" w:cs="Times New Roman"/>
        <w:b/>
        <w:bCs/>
        <w:color w:val="003366"/>
        <w:sz w:val="28"/>
        <w:szCs w:val="28"/>
      </w:rPr>
    </w:pPr>
    <w:r>
      <w:rPr>
        <w:rFonts w:ascii="Times New Roman" w:hAnsi="Times New Roman" w:cs="Times New Roman"/>
        <w:b/>
        <w:bCs/>
        <w:color w:val="003366"/>
        <w:sz w:val="28"/>
        <w:szCs w:val="28"/>
      </w:rPr>
      <w:t>NERC Compliance Questionnaire and Reliability Standard Audit Worksheet</w:t>
    </w:r>
  </w:p>
  <w:p w:rsidR="00653DA0" w:rsidRDefault="00653DA0">
    <w:pPr>
      <w:widowControl w:val="0"/>
      <w:spacing w:line="294" w:lineRule="exact"/>
      <w:rPr>
        <w:rFonts w:ascii="Times New Roman" w:hAnsi="Times New Roman" w:cs="Times New Roman"/>
        <w:b/>
        <w:bCs/>
        <w:sz w:val="28"/>
        <w:szCs w:val="28"/>
      </w:rPr>
    </w:pPr>
    <w:r>
      <w:rPr>
        <w:rFonts w:ascii="Times New Roman" w:hAnsi="Times New Roman" w:cs="Times New Roman"/>
        <w:sz w:val="28"/>
        <w:szCs w:val="28"/>
      </w:rPr>
      <w:tab/>
    </w:r>
    <w:r w:rsidR="00AC68DE">
      <w:rPr>
        <w:rFonts w:ascii="Times New Roman" w:hAnsi="Times New Roman" w:cs="Times New Roman"/>
        <w:b/>
        <w:bCs/>
        <w:sz w:val="28"/>
        <w:szCs w:val="28"/>
      </w:rPr>
      <w:t>Template</w:t>
    </w:r>
  </w:p>
  <w:p w:rsidR="00653DA0" w:rsidRDefault="00880BF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653DA0" w:rsidRDefault="00653DA0">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68DE" w:rsidRDefault="00AC68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969E4"/>
    <w:multiLevelType w:val="hybridMultilevel"/>
    <w:tmpl w:val="1E2E517C"/>
    <w:lvl w:ilvl="0" w:tplc="A12C91CC">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27BA3321"/>
    <w:multiLevelType w:val="hybridMultilevel"/>
    <w:tmpl w:val="8090B4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35F7946"/>
    <w:multiLevelType w:val="multilevel"/>
    <w:tmpl w:val="A5B6D798"/>
    <w:lvl w:ilvl="0">
      <w:start w:val="1"/>
      <w:numFmt w:val="upperRoman"/>
      <w:pStyle w:val="Heading1"/>
      <w:lvlText w:val="%1."/>
      <w:lvlJc w:val="left"/>
      <w:pPr>
        <w:tabs>
          <w:tab w:val="num" w:pos="720"/>
        </w:tabs>
        <w:ind w:left="720" w:hanging="720"/>
      </w:pPr>
    </w:lvl>
    <w:lvl w:ilvl="1">
      <w:start w:val="1"/>
      <w:numFmt w:val="upperLetter"/>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lowerLetter"/>
      <w:pStyle w:val="Heading4"/>
      <w:lvlText w:val="%4."/>
      <w:lvlJc w:val="left"/>
      <w:pPr>
        <w:tabs>
          <w:tab w:val="num" w:pos="2880"/>
        </w:tabs>
        <w:ind w:left="2880" w:hanging="720"/>
      </w:pPr>
    </w:lvl>
    <w:lvl w:ilvl="4">
      <w:start w:val="1"/>
      <w:numFmt w:val="lowerRoman"/>
      <w:pStyle w:val="Heading5"/>
      <w:lvlText w:val="%5."/>
      <w:lvlJc w:val="left"/>
      <w:pPr>
        <w:tabs>
          <w:tab w:val="num" w:pos="3600"/>
        </w:tabs>
        <w:ind w:left="3600" w:hanging="720"/>
      </w:pPr>
    </w:lvl>
    <w:lvl w:ilvl="5">
      <w:start w:val="1"/>
      <w:numFmt w:val="lowerLetter"/>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lowerRoman"/>
      <w:pStyle w:val="Heading8"/>
      <w:lvlText w:val="(%8)"/>
      <w:lvlJc w:val="left"/>
      <w:pPr>
        <w:tabs>
          <w:tab w:val="num" w:pos="5760"/>
        </w:tabs>
        <w:ind w:left="5760" w:hanging="720"/>
      </w:pPr>
    </w:lvl>
    <w:lvl w:ilvl="8">
      <w:start w:val="1"/>
      <w:numFmt w:val="decimalZero"/>
      <w:pStyle w:val="Heading9"/>
      <w:lvlText w:val="(%9)"/>
      <w:lvlJc w:val="left"/>
      <w:pPr>
        <w:tabs>
          <w:tab w:val="num" w:pos="6480"/>
        </w:tabs>
        <w:ind w:left="6480" w:hanging="720"/>
      </w:pPr>
    </w:lvl>
  </w:abstractNum>
  <w:abstractNum w:abstractNumId="4">
    <w:nsid w:val="343D3579"/>
    <w:multiLevelType w:val="hybridMultilevel"/>
    <w:tmpl w:val="536A6F12"/>
    <w:lvl w:ilvl="0" w:tplc="15B03E88">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7E4E4DD3"/>
    <w:multiLevelType w:val="hybridMultilevel"/>
    <w:tmpl w:val="D7E86504"/>
    <w:lvl w:ilvl="0" w:tplc="FFFFFFFF">
      <w:start w:val="1"/>
      <w:numFmt w:val="decimal"/>
      <w:pStyle w:val="FERCparanumber"/>
      <w:lvlText w:val="%1."/>
      <w:lvlJc w:val="left"/>
      <w:pPr>
        <w:tabs>
          <w:tab w:val="num" w:pos="720"/>
        </w:tabs>
        <w:ind w:left="0" w:firstLine="0"/>
      </w:pPr>
      <w:rPr>
        <w:b w:val="0"/>
        <w:i w:val="0"/>
        <w:sz w:val="26"/>
        <w:szCs w:val="26"/>
      </w:rPr>
    </w:lvl>
    <w:lvl w:ilvl="1" w:tplc="FFFFFFFF">
      <w:start w:val="1"/>
      <w:numFmt w:val="bullet"/>
      <w:lvlText w:val=""/>
      <w:lvlJc w:val="left"/>
      <w:pPr>
        <w:tabs>
          <w:tab w:val="num" w:pos="1440"/>
        </w:tabs>
        <w:ind w:left="1440" w:hanging="360"/>
      </w:pPr>
      <w:rPr>
        <w:rFonts w:ascii="Symbol" w:hAnsi="Symbol" w:hint="default"/>
        <w:b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4"/>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ED"/>
    <w:rsid w:val="000A4F91"/>
    <w:rsid w:val="000C7C01"/>
    <w:rsid w:val="00300EFD"/>
    <w:rsid w:val="00330F73"/>
    <w:rsid w:val="00444965"/>
    <w:rsid w:val="00551BCF"/>
    <w:rsid w:val="00653DA0"/>
    <w:rsid w:val="006D0E34"/>
    <w:rsid w:val="006D37F8"/>
    <w:rsid w:val="00732EEF"/>
    <w:rsid w:val="00835323"/>
    <w:rsid w:val="00880BFF"/>
    <w:rsid w:val="00962426"/>
    <w:rsid w:val="00A176FA"/>
    <w:rsid w:val="00AC11ED"/>
    <w:rsid w:val="00AC68DE"/>
    <w:rsid w:val="00B602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48247969-761F-4D3C-B618-E26A52D44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FERCparanumber"/>
    <w:qFormat/>
    <w:pPr>
      <w:keepNext/>
      <w:keepLines/>
      <w:numPr>
        <w:numId w:val="5"/>
      </w:numPr>
      <w:spacing w:after="260"/>
      <w:outlineLvl w:val="0"/>
    </w:pPr>
    <w:rPr>
      <w:rFonts w:ascii="Times New Roman" w:hAnsi="Times New Roman" w:cs="Times New Roman"/>
      <w:b/>
      <w:bCs/>
      <w:kern w:val="32"/>
      <w:sz w:val="26"/>
      <w:szCs w:val="36"/>
      <w:u w:val="single"/>
    </w:rPr>
  </w:style>
  <w:style w:type="paragraph" w:styleId="Heading2">
    <w:name w:val="heading 2"/>
    <w:basedOn w:val="Normal"/>
    <w:next w:val="FERCparanumber"/>
    <w:qFormat/>
    <w:pPr>
      <w:keepNext/>
      <w:keepLines/>
      <w:numPr>
        <w:ilvl w:val="1"/>
        <w:numId w:val="5"/>
      </w:numPr>
      <w:spacing w:after="260"/>
      <w:outlineLvl w:val="1"/>
    </w:pPr>
    <w:rPr>
      <w:rFonts w:ascii="Times New Roman" w:hAnsi="Times New Roman" w:cs="Times New Roman"/>
      <w:b/>
      <w:bCs/>
      <w:iCs/>
      <w:kern w:val="32"/>
      <w:sz w:val="26"/>
      <w:szCs w:val="32"/>
      <w:u w:val="single"/>
    </w:rPr>
  </w:style>
  <w:style w:type="paragraph" w:styleId="Heading3">
    <w:name w:val="heading 3"/>
    <w:basedOn w:val="Normal"/>
    <w:next w:val="FERCparanumber"/>
    <w:qFormat/>
    <w:pPr>
      <w:keepNext/>
      <w:keepLines/>
      <w:numPr>
        <w:ilvl w:val="2"/>
        <w:numId w:val="5"/>
      </w:numPr>
      <w:spacing w:after="260"/>
      <w:outlineLvl w:val="2"/>
    </w:pPr>
    <w:rPr>
      <w:rFonts w:ascii="Times New Roman" w:hAnsi="Times New Roman" w:cs="Times New Roman"/>
      <w:b/>
      <w:bCs/>
      <w:kern w:val="32"/>
      <w:sz w:val="26"/>
      <w:szCs w:val="32"/>
      <w:u w:val="single"/>
    </w:rPr>
  </w:style>
  <w:style w:type="paragraph" w:styleId="Heading4">
    <w:name w:val="heading 4"/>
    <w:aliases w:val="Heading 4 Char Char,Heading 4 Char"/>
    <w:basedOn w:val="Normal"/>
    <w:next w:val="FERCparanumber"/>
    <w:qFormat/>
    <w:pPr>
      <w:keepNext/>
      <w:keepLines/>
      <w:numPr>
        <w:ilvl w:val="3"/>
        <w:numId w:val="5"/>
      </w:numPr>
      <w:spacing w:after="260"/>
      <w:outlineLvl w:val="3"/>
    </w:pPr>
    <w:rPr>
      <w:rFonts w:ascii="Times New Roman" w:hAnsi="Times New Roman" w:cs="Times New Roman"/>
      <w:kern w:val="32"/>
      <w:sz w:val="26"/>
      <w:szCs w:val="28"/>
      <w:u w:val="single"/>
    </w:rPr>
  </w:style>
  <w:style w:type="paragraph" w:styleId="Heading5">
    <w:name w:val="heading 5"/>
    <w:basedOn w:val="Normal"/>
    <w:next w:val="FERCparanumber"/>
    <w:qFormat/>
    <w:pPr>
      <w:keepNext/>
      <w:keepLines/>
      <w:numPr>
        <w:ilvl w:val="4"/>
        <w:numId w:val="5"/>
      </w:numPr>
      <w:spacing w:after="260"/>
      <w:outlineLvl w:val="4"/>
    </w:pPr>
    <w:rPr>
      <w:rFonts w:ascii="Times New Roman" w:hAnsi="Times New Roman" w:cs="Times New Roman"/>
      <w:b/>
      <w:bCs/>
      <w:iCs/>
      <w:kern w:val="32"/>
      <w:sz w:val="26"/>
      <w:szCs w:val="26"/>
      <w:u w:val="single"/>
    </w:rPr>
  </w:style>
  <w:style w:type="paragraph" w:styleId="Heading6">
    <w:name w:val="heading 6"/>
    <w:basedOn w:val="Normal"/>
    <w:next w:val="FERCparanumber"/>
    <w:qFormat/>
    <w:pPr>
      <w:keepNext/>
      <w:keepLines/>
      <w:numPr>
        <w:ilvl w:val="5"/>
        <w:numId w:val="5"/>
      </w:numPr>
      <w:spacing w:after="260"/>
      <w:outlineLvl w:val="5"/>
    </w:pPr>
    <w:rPr>
      <w:rFonts w:ascii="Times New Roman" w:hAnsi="Times New Roman" w:cs="Times New Roman"/>
      <w:b/>
      <w:bCs/>
      <w:kern w:val="32"/>
      <w:sz w:val="26"/>
      <w:szCs w:val="22"/>
      <w:u w:val="single"/>
    </w:rPr>
  </w:style>
  <w:style w:type="paragraph" w:styleId="Heading7">
    <w:name w:val="heading 7"/>
    <w:basedOn w:val="Normal"/>
    <w:next w:val="FERCparanumber"/>
    <w:qFormat/>
    <w:pPr>
      <w:keepNext/>
      <w:keepLines/>
      <w:numPr>
        <w:ilvl w:val="6"/>
        <w:numId w:val="5"/>
      </w:numPr>
      <w:spacing w:after="260"/>
      <w:outlineLvl w:val="6"/>
    </w:pPr>
    <w:rPr>
      <w:rFonts w:ascii="Times New Roman" w:hAnsi="Times New Roman" w:cs="Times New Roman"/>
      <w:b/>
      <w:kern w:val="32"/>
      <w:sz w:val="26"/>
      <w:szCs w:val="24"/>
      <w:u w:val="single"/>
    </w:rPr>
  </w:style>
  <w:style w:type="paragraph" w:styleId="Heading8">
    <w:name w:val="heading 8"/>
    <w:basedOn w:val="Normal"/>
    <w:next w:val="FERCparanumber"/>
    <w:qFormat/>
    <w:pPr>
      <w:keepNext/>
      <w:keepLines/>
      <w:numPr>
        <w:ilvl w:val="7"/>
        <w:numId w:val="5"/>
      </w:numPr>
      <w:spacing w:after="260"/>
      <w:outlineLvl w:val="7"/>
    </w:pPr>
    <w:rPr>
      <w:rFonts w:ascii="Times New Roman" w:hAnsi="Times New Roman" w:cs="Times New Roman"/>
      <w:b/>
      <w:iCs/>
      <w:kern w:val="32"/>
      <w:sz w:val="26"/>
      <w:szCs w:val="24"/>
      <w:u w:val="single"/>
    </w:rPr>
  </w:style>
  <w:style w:type="paragraph" w:styleId="Heading9">
    <w:name w:val="heading 9"/>
    <w:basedOn w:val="Normal"/>
    <w:next w:val="FERCparanumber"/>
    <w:qFormat/>
    <w:pPr>
      <w:keepNext/>
      <w:keepLines/>
      <w:numPr>
        <w:ilvl w:val="8"/>
        <w:numId w:val="5"/>
      </w:numPr>
      <w:spacing w:after="260"/>
      <w:outlineLvl w:val="8"/>
    </w:pPr>
    <w:rPr>
      <w:rFonts w:ascii="Times New Roman" w:hAnsi="Times New Roman" w:cs="Times New Roman"/>
      <w:b/>
      <w:kern w:val="32"/>
      <w:sz w:val="26"/>
      <w:szCs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pPr>
      <w:tabs>
        <w:tab w:val="center" w:pos="4680"/>
        <w:tab w:val="right" w:pos="9360"/>
      </w:tabs>
    </w:pPr>
  </w:style>
  <w:style w:type="character" w:customStyle="1" w:styleId="HeaderChar">
    <w:name w:val="Header Char"/>
    <w:link w:val="Header"/>
    <w:uiPriority w:val="99"/>
    <w:rPr>
      <w:rFonts w:ascii="Arial" w:hAnsi="Arial" w:cs="Arial"/>
      <w:sz w:val="20"/>
      <w:szCs w:val="20"/>
    </w:rPr>
  </w:style>
  <w:style w:type="paragraph" w:styleId="Footer">
    <w:name w:val="footer"/>
    <w:basedOn w:val="Normal"/>
    <w:link w:val="FooterChar"/>
    <w:uiPriority w:val="99"/>
    <w:unhideWhenUsed/>
    <w:pPr>
      <w:tabs>
        <w:tab w:val="center" w:pos="4680"/>
        <w:tab w:val="right" w:pos="9360"/>
      </w:tabs>
    </w:pPr>
  </w:style>
  <w:style w:type="character" w:customStyle="1" w:styleId="FooterChar">
    <w:name w:val="Footer Char"/>
    <w:link w:val="Footer"/>
    <w:uiPriority w:val="99"/>
    <w:rPr>
      <w:rFonts w:ascii="Arial" w:hAnsi="Arial" w:cs="Arial"/>
      <w:sz w:val="20"/>
      <w:szCs w:val="20"/>
    </w:rPr>
  </w:style>
  <w:style w:type="character" w:styleId="Hyperlink">
    <w:name w:val="Hyperlink"/>
    <w:uiPriority w:val="99"/>
    <w:unhideWhenUsed/>
    <w:rPr>
      <w:color w:val="0000FF"/>
      <w:u w:val="single"/>
    </w:rPr>
  </w:style>
  <w:style w:type="table" w:styleId="LightShading-Accent1">
    <w:name w:val="Light Shading Accent 1"/>
    <w:basedOn w:val="TableNormal"/>
    <w:uiPriority w:val="6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JBody">
    <w:name w:val="J Body"/>
    <w:basedOn w:val="Normal"/>
    <w:link w:val="JBodyChar"/>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Pr>
      <w:rFonts w:cs="Arial"/>
      <w:bCs/>
      <w:iCs/>
      <w:sz w:val="24"/>
      <w:szCs w:val="28"/>
      <w:lang w:val="en-US" w:eastAsia="en-US" w:bidi="ar-SA"/>
    </w:rPr>
  </w:style>
  <w:style w:type="character" w:styleId="PageNumber">
    <w:name w:val="page number"/>
    <w:basedOn w:val="DefaultParagraphFont"/>
  </w:style>
  <w:style w:type="paragraph" w:customStyle="1" w:styleId="FERCparanumber">
    <w:name w:val="FERC paranumber"/>
    <w:basedOn w:val="Normal"/>
    <w:link w:val="FERCparanumberChar1"/>
    <w:pPr>
      <w:numPr>
        <w:numId w:val="6"/>
      </w:numPr>
      <w:tabs>
        <w:tab w:val="left" w:pos="720"/>
      </w:tabs>
      <w:spacing w:after="240"/>
    </w:pPr>
    <w:rPr>
      <w:rFonts w:ascii="Times New Roman" w:hAnsi="Times New Roman" w:cs="Times New Roman"/>
      <w:sz w:val="26"/>
      <w:szCs w:val="26"/>
    </w:rPr>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fn1 Char"/>
    <w:link w:val="FootnoteText"/>
    <w:locked/>
    <w:rPr>
      <w:sz w:val="26"/>
      <w:szCs w:val="26"/>
      <w:lang w:val="en-US" w:eastAsia="en-US" w:bidi="ar-SA"/>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fn1,fn3,fn4,ft Char"/>
    <w:basedOn w:val="Normal"/>
    <w:link w:val="FootnoteTextChar"/>
    <w:pPr>
      <w:widowControl w:val="0"/>
      <w:autoSpaceDE/>
      <w:autoSpaceDN/>
      <w:adjustRightInd/>
      <w:spacing w:after="260"/>
      <w:ind w:firstLine="720"/>
    </w:pPr>
    <w:rPr>
      <w:rFonts w:ascii="Times New Roman" w:hAnsi="Times New Roman" w:cs="Times New Roman"/>
      <w:sz w:val="26"/>
      <w:szCs w:val="26"/>
    </w:rPr>
  </w:style>
  <w:style w:type="character" w:customStyle="1" w:styleId="FERCparanumberChar1">
    <w:name w:val="FERC paranumber Char1"/>
    <w:link w:val="FERCparanumber"/>
    <w:locked/>
    <w:rPr>
      <w:sz w:val="26"/>
      <w:szCs w:val="26"/>
      <w:lang w:val="en-US" w:eastAsia="en-US" w:bidi="ar-SA"/>
    </w:rPr>
  </w:style>
  <w:style w:type="character" w:styleId="FootnoteReference">
    <w:name w:val="footnote reference"/>
    <w:aliases w:val="o,fr,o1,fr1,o2,fr2,o3,fr3,Style 13,Style 12,Style 15,Style 17,Style 9,Style 18,(NECG) Footnote Reference,Style 20,Style 7"/>
    <w:rPr>
      <w:rFonts w:ascii="Times New Roman" w:hAnsi="Times New Roman" w:cs="Times New Roman" w:hint="default"/>
      <w:b/>
      <w:bCs w:val="0"/>
      <w:sz w:val="26"/>
      <w:szCs w:val="26"/>
      <w:vertAlign w:val="superscript"/>
    </w:rPr>
  </w:style>
  <w:style w:type="character" w:styleId="Strong">
    <w:name w:val="Strong"/>
    <w:qFormat/>
    <w:rsid w:val="00AC11E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51519764">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2073</Words>
  <Characters>11819</Characters>
  <Application>Microsoft Office Word</Application>
  <DocSecurity>0</DocSecurity>
  <Lines>98</Lines>
  <Paragraphs>27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13865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